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14E38" w14:textId="5C5644AF" w:rsidR="007F162A" w:rsidRPr="003346C1" w:rsidRDefault="000135DD" w:rsidP="007F162A">
      <w:pPr>
        <w:pStyle w:val="Title"/>
        <w:tabs>
          <w:tab w:val="left" w:pos="709"/>
          <w:tab w:val="right" w:pos="9639"/>
        </w:tabs>
        <w:wordWrap w:val="0"/>
        <w:spacing w:before="0" w:after="0"/>
        <w:ind w:right="120"/>
        <w:jc w:val="right"/>
        <w:outlineLvl w:val="9"/>
        <w:rPr>
          <w:rFonts w:eastAsia="MS Mincho" w:cs="Arial"/>
          <w:kern w:val="0"/>
          <w:sz w:val="24"/>
          <w:lang w:val="en-US" w:eastAsia="en-US"/>
        </w:rPr>
      </w:pPr>
      <w:r>
        <w:rPr>
          <w:rFonts w:eastAsia="MS Mincho" w:cs="Arial"/>
          <w:kern w:val="0"/>
          <w:sz w:val="24"/>
          <w:lang w:val="en-US" w:eastAsia="en-US"/>
        </w:rPr>
        <w:t>3GPP TSG-RAN1 #84</w:t>
      </w:r>
      <w:r w:rsidR="007F162A" w:rsidRPr="003346C1">
        <w:rPr>
          <w:rFonts w:eastAsia="MS Mincho" w:cs="Arial"/>
          <w:kern w:val="0"/>
          <w:sz w:val="24"/>
          <w:lang w:val="en-US" w:eastAsia="en-US"/>
        </w:rPr>
        <w:tab/>
        <w:t>R1-16</w:t>
      </w:r>
      <w:r w:rsidR="002F1262">
        <w:rPr>
          <w:rFonts w:eastAsia="MS Mincho" w:cs="Arial"/>
          <w:kern w:val="0"/>
          <w:sz w:val="24"/>
          <w:lang w:val="en-US" w:eastAsia="en-US"/>
        </w:rPr>
        <w:t>1307</w:t>
      </w:r>
      <w:bookmarkStart w:id="0" w:name="_GoBack"/>
      <w:bookmarkEnd w:id="0"/>
    </w:p>
    <w:p w14:paraId="46F2892B" w14:textId="3BADE33E" w:rsidR="007F162A" w:rsidRPr="003346C1" w:rsidRDefault="007F162A" w:rsidP="007F162A">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3346C1">
        <w:rPr>
          <w:rFonts w:eastAsia="MS Mincho" w:cs="Arial"/>
          <w:kern w:val="0"/>
          <w:sz w:val="24"/>
          <w:lang w:val="en-US" w:eastAsia="en-US"/>
        </w:rPr>
        <w:t>1</w:t>
      </w:r>
      <w:r w:rsidR="000135DD">
        <w:rPr>
          <w:rFonts w:eastAsia="MS Mincho" w:cs="Arial"/>
          <w:kern w:val="0"/>
          <w:sz w:val="24"/>
          <w:lang w:val="en-US" w:eastAsia="en-US"/>
        </w:rPr>
        <w:t>5-19 February</w:t>
      </w:r>
      <w:r w:rsidRPr="003346C1">
        <w:rPr>
          <w:rFonts w:eastAsia="MS Mincho" w:cs="Arial"/>
          <w:kern w:val="0"/>
          <w:sz w:val="24"/>
          <w:lang w:val="en-US" w:eastAsia="en-US"/>
        </w:rPr>
        <w:t xml:space="preserve"> 2016</w:t>
      </w:r>
    </w:p>
    <w:p w14:paraId="586D411C" w14:textId="73E0495A" w:rsidR="00BD21BC" w:rsidRDefault="00064444" w:rsidP="003346C1">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 xml:space="preserve">St Julian’s, </w:t>
      </w:r>
      <w:r w:rsidR="000135DD">
        <w:rPr>
          <w:rFonts w:eastAsia="MS Mincho" w:cs="Arial"/>
          <w:kern w:val="0"/>
          <w:sz w:val="24"/>
          <w:lang w:val="en-US" w:eastAsia="en-US"/>
        </w:rPr>
        <w:t>Malta</w:t>
      </w:r>
    </w:p>
    <w:p w14:paraId="6356F834" w14:textId="08489627" w:rsidR="003346C1" w:rsidRPr="003346C1" w:rsidRDefault="00064444" w:rsidP="00064444">
      <w:pPr>
        <w:pStyle w:val="Title"/>
        <w:tabs>
          <w:tab w:val="left" w:pos="2051"/>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447048FB"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Pr="00BD21BC">
        <w:rPr>
          <w:rFonts w:cs="Arial"/>
          <w:b/>
          <w:sz w:val="24"/>
          <w:lang w:val="en-US" w:eastAsia="ja-JP"/>
        </w:rPr>
        <w:t>N</w:t>
      </w:r>
      <w:r w:rsidR="00DE35EB">
        <w:rPr>
          <w:rFonts w:cs="Arial"/>
          <w:b/>
          <w:sz w:val="24"/>
          <w:lang w:val="en-US" w:eastAsia="ja-JP"/>
        </w:rPr>
        <w:t>B-</w:t>
      </w:r>
      <w:r w:rsidR="001F6DF3">
        <w:rPr>
          <w:rFonts w:cs="Arial"/>
          <w:b/>
          <w:sz w:val="24"/>
          <w:lang w:val="en-US" w:eastAsia="ja-JP"/>
        </w:rPr>
        <w:t>IoT</w:t>
      </w:r>
      <w:r w:rsidR="00DE35EB">
        <w:rPr>
          <w:rFonts w:cs="Arial"/>
          <w:b/>
          <w:sz w:val="24"/>
          <w:lang w:val="en-US" w:eastAsia="ja-JP"/>
        </w:rPr>
        <w:t xml:space="preserve"> </w:t>
      </w:r>
      <w:r w:rsidR="000135DD">
        <w:rPr>
          <w:rFonts w:cs="Arial"/>
          <w:b/>
          <w:sz w:val="24"/>
          <w:lang w:val="en-US" w:eastAsia="ja-JP"/>
        </w:rPr>
        <w:t>–</w:t>
      </w:r>
      <w:r w:rsidR="00DE35EB">
        <w:rPr>
          <w:rFonts w:cs="Arial"/>
          <w:b/>
          <w:sz w:val="24"/>
          <w:lang w:val="en-US" w:eastAsia="ja-JP"/>
        </w:rPr>
        <w:t xml:space="preserve"> </w:t>
      </w:r>
      <w:r w:rsidR="00394AA8">
        <w:rPr>
          <w:rFonts w:cs="Arial"/>
          <w:b/>
          <w:sz w:val="24"/>
          <w:lang w:val="en-US" w:eastAsia="ja-JP"/>
        </w:rPr>
        <w:t xml:space="preserve">Symbol Pattern for </w:t>
      </w:r>
      <w:r w:rsidR="000135DD">
        <w:rPr>
          <w:rFonts w:cs="Arial"/>
          <w:b/>
          <w:sz w:val="24"/>
          <w:lang w:val="en-US" w:eastAsia="ja-JP"/>
        </w:rPr>
        <w:t>Single Tone</w:t>
      </w:r>
      <w:r w:rsidR="00C9756D">
        <w:rPr>
          <w:rFonts w:cs="Arial"/>
          <w:b/>
          <w:sz w:val="24"/>
          <w:lang w:val="en-US" w:eastAsia="ja-JP"/>
        </w:rPr>
        <w:t xml:space="preserve"> </w:t>
      </w:r>
      <w:r w:rsidR="00394AA8">
        <w:rPr>
          <w:rFonts w:cs="Arial"/>
          <w:b/>
          <w:sz w:val="24"/>
          <w:lang w:val="en-US" w:eastAsia="ja-JP"/>
        </w:rPr>
        <w:t>NB-PRACH</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799A7399" w:rsidR="00A675B4" w:rsidRPr="00DF438D" w:rsidRDefault="00BD21BC" w:rsidP="00BD21BC">
      <w:pPr>
        <w:keepNext/>
        <w:tabs>
          <w:tab w:val="left" w:pos="2552"/>
        </w:tabs>
        <w:rPr>
          <w:lang w:val="en-US"/>
        </w:rPr>
      </w:pPr>
      <w:r w:rsidRPr="00C9756D">
        <w:rPr>
          <w:rFonts w:cs="Arial"/>
          <w:b/>
          <w:sz w:val="24"/>
          <w:lang w:val="en-US"/>
        </w:rPr>
        <w:t xml:space="preserve">Agenda Item:         </w:t>
      </w:r>
      <w:r w:rsidRPr="00C9756D">
        <w:rPr>
          <w:rFonts w:cs="Arial"/>
          <w:b/>
          <w:sz w:val="24"/>
          <w:lang w:val="en-US"/>
        </w:rPr>
        <w:tab/>
      </w:r>
      <w:r w:rsidR="00C9756D">
        <w:rPr>
          <w:rFonts w:cs="Arial"/>
          <w:b/>
          <w:sz w:val="24"/>
          <w:lang w:val="en-US"/>
        </w:rPr>
        <w:t>7.2.1.2.2</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16C3BD15" w14:textId="0F3C50B3" w:rsidR="0052438A"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sidR="003B44B7">
        <w:rPr>
          <w:i/>
          <w:lang w:val="en-US"/>
        </w:rPr>
        <w:t>b</w:t>
      </w:r>
      <w:r w:rsidRPr="00D9057B">
        <w:rPr>
          <w:i/>
          <w:lang w:val="en-US"/>
        </w:rPr>
        <w:t>and I</w:t>
      </w:r>
      <w:r w:rsidR="003B44B7">
        <w:rPr>
          <w:i/>
          <w:lang w:val="en-US"/>
        </w:rPr>
        <w:t>o</w:t>
      </w:r>
      <w:r w:rsidRPr="00D9057B">
        <w:rPr>
          <w:i/>
          <w:lang w:val="en-US"/>
        </w:rPr>
        <w:t>T (NB-I</w:t>
      </w:r>
      <w:r w:rsidR="00A546B8">
        <w:rPr>
          <w:i/>
          <w:lang w:val="en-US"/>
        </w:rPr>
        <w:t>o</w:t>
      </w:r>
      <w:r w:rsidRPr="00D9057B">
        <w:rPr>
          <w:i/>
          <w:lang w:val="en-US"/>
        </w:rPr>
        <w:t>T)</w:t>
      </w:r>
      <w:r>
        <w:rPr>
          <w:lang w:val="en-US"/>
        </w:rPr>
        <w:t xml:space="preserve"> was approved, see</w:t>
      </w:r>
      <w:r w:rsidR="00594E36">
        <w:rPr>
          <w:lang w:val="en-US"/>
        </w:rPr>
        <w:t xml:space="preserve"> </w:t>
      </w:r>
      <w:r w:rsidR="009700FD">
        <w:rPr>
          <w:lang w:val="en-US"/>
        </w:rPr>
        <w:fldChar w:fldCharType="begin"/>
      </w:r>
      <w:r w:rsidR="009700FD">
        <w:rPr>
          <w:lang w:val="en-US"/>
        </w:rPr>
        <w:instrText xml:space="preserve"> REF _Ref433894019 \r \h </w:instrText>
      </w:r>
      <w:r w:rsidR="009700FD">
        <w:rPr>
          <w:lang w:val="en-US"/>
        </w:rPr>
      </w:r>
      <w:r w:rsidR="009700FD">
        <w:rPr>
          <w:lang w:val="en-US"/>
        </w:rPr>
        <w:fldChar w:fldCharType="separate"/>
      </w:r>
      <w:r w:rsidR="005946BE">
        <w:rPr>
          <w:lang w:val="en-US"/>
        </w:rPr>
        <w:t>[1]</w:t>
      </w:r>
      <w:r w:rsidR="009700FD">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5B3559C7" w14:textId="77777777" w:rsidR="005560B2" w:rsidRPr="000A105F" w:rsidRDefault="005560B2" w:rsidP="005560B2">
      <w:pPr>
        <w:pStyle w:val="BodyText"/>
        <w:rPr>
          <w:highlight w:val="yellow"/>
        </w:rPr>
      </w:pPr>
      <w:r w:rsidRPr="003346C1">
        <w:t xml:space="preserve">In RAN#70, the following items have been agreed </w:t>
      </w:r>
      <w:r w:rsidRPr="003346C1">
        <w:fldChar w:fldCharType="begin"/>
      </w:r>
      <w:r w:rsidRPr="003346C1">
        <w:instrText xml:space="preserve"> REF _Ref436223503 \r \h  \* MERGEFORMAT </w:instrText>
      </w:r>
      <w:r w:rsidRPr="003346C1">
        <w:fldChar w:fldCharType="separate"/>
      </w:r>
      <w:r w:rsidR="005946BE">
        <w:t>[2]</w:t>
      </w:r>
      <w:r w:rsidRPr="003346C1">
        <w:fldChar w:fldCharType="end"/>
      </w:r>
      <w:r w:rsidRPr="003346C1">
        <w:t>.</w:t>
      </w:r>
    </w:p>
    <w:p w14:paraId="28C20973" w14:textId="77777777" w:rsidR="005560B2" w:rsidRDefault="005560B2" w:rsidP="005560B2">
      <w:pPr>
        <w:numPr>
          <w:ilvl w:val="0"/>
          <w:numId w:val="17"/>
        </w:numPr>
        <w:spacing w:after="180"/>
        <w:ind w:right="-99"/>
        <w:jc w:val="left"/>
        <w:rPr>
          <w:bCs/>
        </w:rPr>
      </w:pPr>
      <w:r>
        <w:rPr>
          <w:bCs/>
        </w:rPr>
        <w:t>180 kHz UE RF bandwidth for both downlink and uplink</w:t>
      </w:r>
    </w:p>
    <w:p w14:paraId="36F158AB" w14:textId="77777777" w:rsidR="005560B2" w:rsidRDefault="005560B2" w:rsidP="005560B2">
      <w:pPr>
        <w:numPr>
          <w:ilvl w:val="0"/>
          <w:numId w:val="17"/>
        </w:numPr>
        <w:spacing w:after="180"/>
        <w:ind w:right="-99"/>
        <w:jc w:val="left"/>
        <w:rPr>
          <w:bCs/>
        </w:rPr>
      </w:pPr>
      <w:r w:rsidRPr="0007668C">
        <w:rPr>
          <w:bCs/>
        </w:rPr>
        <w:t>OFDMA on the downlink</w:t>
      </w:r>
    </w:p>
    <w:p w14:paraId="63E3746E" w14:textId="77777777" w:rsidR="005560B2" w:rsidRDefault="005560B2" w:rsidP="005560B2">
      <w:pPr>
        <w:numPr>
          <w:ilvl w:val="1"/>
          <w:numId w:val="17"/>
        </w:numPr>
        <w:spacing w:after="180"/>
        <w:ind w:right="-99"/>
        <w:jc w:val="left"/>
        <w:rPr>
          <w:bCs/>
        </w:rPr>
      </w:pPr>
      <w:r>
        <w:rPr>
          <w:bCs/>
        </w:rPr>
        <w:t xml:space="preserve">15 kHz sub-carrier spacing for all the modes of operation (with normal or extended CP). </w:t>
      </w:r>
    </w:p>
    <w:p w14:paraId="27F697C6" w14:textId="77777777" w:rsidR="005560B2" w:rsidRDefault="005560B2" w:rsidP="005560B2">
      <w:pPr>
        <w:numPr>
          <w:ilvl w:val="0"/>
          <w:numId w:val="17"/>
        </w:numPr>
        <w:spacing w:after="180"/>
        <w:ind w:right="-99"/>
        <w:jc w:val="left"/>
        <w:rPr>
          <w:bCs/>
        </w:rPr>
      </w:pPr>
      <w:r>
        <w:rPr>
          <w:bCs/>
        </w:rPr>
        <w:t xml:space="preserve">For the uplink: </w:t>
      </w:r>
    </w:p>
    <w:p w14:paraId="3A294B6A" w14:textId="77777777" w:rsidR="005560B2" w:rsidRDefault="005560B2" w:rsidP="005560B2">
      <w:pPr>
        <w:numPr>
          <w:ilvl w:val="1"/>
          <w:numId w:val="17"/>
        </w:numPr>
        <w:spacing w:after="180"/>
        <w:ind w:right="-99"/>
        <w:jc w:val="left"/>
        <w:rPr>
          <w:bCs/>
        </w:rPr>
      </w:pPr>
      <w:r>
        <w:rPr>
          <w:bCs/>
        </w:rPr>
        <w:t>Single tone transmissions are supported. Two numerologies should be configurable by the network for single-tone transmission: 3.75 kHz and 15 kHz. A cyclic prefix is inserted. Frequency domain sinc pulse-shaping in the physical layer description.</w:t>
      </w:r>
    </w:p>
    <w:p w14:paraId="5D3EFC18" w14:textId="77777777" w:rsidR="005560B2" w:rsidRDefault="005560B2" w:rsidP="005560B2">
      <w:pPr>
        <w:numPr>
          <w:ilvl w:val="1"/>
          <w:numId w:val="17"/>
        </w:numPr>
        <w:spacing w:after="180"/>
        <w:ind w:right="-99"/>
        <w:jc w:val="left"/>
        <w:rPr>
          <w:bCs/>
        </w:rPr>
      </w:pPr>
      <w:r>
        <w:rPr>
          <w:bCs/>
        </w:rPr>
        <w:t>Multi-tone transmissions are supported, based on SC-FDMA with 15 kHz UL subcarrier spacing.</w:t>
      </w:r>
    </w:p>
    <w:p w14:paraId="545A15B6" w14:textId="77777777" w:rsidR="005560B2" w:rsidRDefault="005560B2" w:rsidP="005560B2">
      <w:pPr>
        <w:numPr>
          <w:ilvl w:val="1"/>
          <w:numId w:val="17"/>
        </w:numPr>
        <w:spacing w:after="180"/>
        <w:ind w:right="-99"/>
        <w:jc w:val="left"/>
        <w:rPr>
          <w:bCs/>
        </w:rPr>
      </w:pPr>
      <w:r>
        <w:rPr>
          <w:bCs/>
        </w:rPr>
        <w:t>FFS: Additional mechanisms for PAPR reduction.</w:t>
      </w:r>
    </w:p>
    <w:p w14:paraId="572FAE0F" w14:textId="2244E3E4" w:rsidR="005560B2" w:rsidRPr="005560B2" w:rsidRDefault="005560B2" w:rsidP="0052438A">
      <w:pPr>
        <w:numPr>
          <w:ilvl w:val="1"/>
          <w:numId w:val="17"/>
        </w:numPr>
        <w:spacing w:after="180"/>
        <w:ind w:right="-99"/>
        <w:jc w:val="left"/>
        <w:rPr>
          <w:bCs/>
        </w:rPr>
      </w:pPr>
      <w:r>
        <w:rPr>
          <w:bCs/>
        </w:rPr>
        <w:t>The UE shall indicate the support single-tone and/or multi-tone, details to be discussed by RAN WGs</w:t>
      </w:r>
    </w:p>
    <w:p w14:paraId="6F08B936" w14:textId="6526FAC1" w:rsidR="00D814D8" w:rsidRPr="00D15FDF" w:rsidRDefault="008D36F1" w:rsidP="00D15FDF">
      <w:r w:rsidRPr="00D15FDF">
        <w:t xml:space="preserve">In RAN1 NB-IoT ad </w:t>
      </w:r>
      <w:r w:rsidR="005560B2" w:rsidRPr="00D15FDF">
        <w:t xml:space="preserve">hoc meeting, it was </w:t>
      </w:r>
      <w:r w:rsidR="00351C0A">
        <w:t xml:space="preserve">further </w:t>
      </w:r>
      <w:r w:rsidR="005560B2" w:rsidRPr="00D15FDF">
        <w:t xml:space="preserve">agreed that </w:t>
      </w:r>
      <w:r w:rsidR="00D15FDF">
        <w:t>“</w:t>
      </w:r>
      <w:r w:rsidR="005560B2">
        <w:rPr>
          <w:rFonts w:eastAsia="MS Mincho"/>
          <w:lang w:val="en-US" w:eastAsia="ja-JP"/>
        </w:rPr>
        <w:t>Support one PRACH scheme for all MCL cases</w:t>
      </w:r>
      <w:r w:rsidR="00D15FDF">
        <w:rPr>
          <w:rFonts w:eastAsia="MS Mincho"/>
          <w:lang w:val="en-US" w:eastAsia="ja-JP"/>
        </w:rPr>
        <w:t xml:space="preserve"> </w:t>
      </w:r>
      <w:r w:rsidR="00D15FDF" w:rsidRPr="00D15FDF">
        <w:fldChar w:fldCharType="begin"/>
      </w:r>
      <w:r w:rsidR="00D15FDF" w:rsidRPr="00D15FDF">
        <w:instrText xml:space="preserve"> REF _Ref441756286 \r \h  \* MERGEFORMAT </w:instrText>
      </w:r>
      <w:r w:rsidR="00D15FDF" w:rsidRPr="00D15FDF">
        <w:fldChar w:fldCharType="separate"/>
      </w:r>
      <w:r w:rsidR="005946BE">
        <w:t>[3]</w:t>
      </w:r>
      <w:r w:rsidR="00D15FDF" w:rsidRPr="00D15FDF">
        <w:fldChar w:fldCharType="end"/>
      </w:r>
      <w:r w:rsidR="00D15FDF">
        <w:t>.</w:t>
      </w:r>
      <w:r w:rsidR="00D15FDF">
        <w:rPr>
          <w:rFonts w:eastAsia="MS Mincho"/>
          <w:lang w:val="en-US" w:eastAsia="ja-JP"/>
        </w:rPr>
        <w:t>” Also, as a working assumption,</w:t>
      </w:r>
      <w:r w:rsidR="00D15FDF">
        <w:t xml:space="preserve"> “</w:t>
      </w:r>
      <w:r w:rsidR="005560B2">
        <w:rPr>
          <w:rFonts w:eastAsia="MS Mincho"/>
          <w:lang w:val="en-US" w:eastAsia="ja-JP"/>
        </w:rPr>
        <w:t>PRACH scheme is based on single-tone transmission</w:t>
      </w:r>
      <w:r w:rsidR="00D15FDF">
        <w:rPr>
          <w:rFonts w:eastAsia="MS Mincho"/>
          <w:lang w:val="en-US" w:eastAsia="ja-JP"/>
        </w:rPr>
        <w:t xml:space="preserve"> </w:t>
      </w:r>
      <w:r w:rsidR="00D15FDF" w:rsidRPr="00D15FDF">
        <w:fldChar w:fldCharType="begin"/>
      </w:r>
      <w:r w:rsidR="00D15FDF" w:rsidRPr="00D15FDF">
        <w:instrText xml:space="preserve"> REF _Ref441756286 \r \h  \* MERGEFORMAT </w:instrText>
      </w:r>
      <w:r w:rsidR="00D15FDF" w:rsidRPr="00D15FDF">
        <w:fldChar w:fldCharType="separate"/>
      </w:r>
      <w:r w:rsidR="005946BE">
        <w:t>[3]</w:t>
      </w:r>
      <w:r w:rsidR="00D15FDF" w:rsidRPr="00D15FDF">
        <w:fldChar w:fldCharType="end"/>
      </w:r>
      <w:r w:rsidR="00D15FDF">
        <w:t>.</w:t>
      </w:r>
      <w:r w:rsidR="00D15FDF">
        <w:rPr>
          <w:rFonts w:eastAsia="MS Mincho"/>
          <w:lang w:val="en-US" w:eastAsia="ja-JP"/>
        </w:rPr>
        <w:t>”</w:t>
      </w:r>
    </w:p>
    <w:p w14:paraId="23D76E89" w14:textId="77777777" w:rsidR="005560B2" w:rsidRPr="00D15FDF" w:rsidRDefault="005560B2" w:rsidP="00D15FDF">
      <w:pPr>
        <w:overflowPunct/>
        <w:autoSpaceDE/>
        <w:autoSpaceDN/>
        <w:adjustRightInd/>
        <w:spacing w:after="0"/>
        <w:jc w:val="left"/>
        <w:textAlignment w:val="auto"/>
        <w:rPr>
          <w:rFonts w:eastAsia="MS Mincho"/>
          <w:lang w:eastAsia="ja-JP"/>
        </w:rPr>
      </w:pPr>
    </w:p>
    <w:p w14:paraId="62E7B2AD" w14:textId="794B1134" w:rsidR="00792345" w:rsidRPr="00921AB6" w:rsidRDefault="00921AB6" w:rsidP="00B342A2">
      <w:pPr>
        <w:pStyle w:val="BodyText"/>
      </w:pPr>
      <w:r>
        <w:t>In this c</w:t>
      </w:r>
      <w:r w:rsidR="003A35CF">
        <w:t>ontribution, we</w:t>
      </w:r>
      <w:r w:rsidR="002411F2">
        <w:t xml:space="preserve"> </w:t>
      </w:r>
      <w:r w:rsidR="00ED0D0D">
        <w:t xml:space="preserve">discuss in detail on the design of single tone NB-PRACH symbol pattern. </w:t>
      </w:r>
    </w:p>
    <w:p w14:paraId="5A297BD7" w14:textId="25FBB525" w:rsidR="00792345" w:rsidRDefault="003B00A3" w:rsidP="00792345">
      <w:pPr>
        <w:pStyle w:val="Heading1"/>
      </w:pPr>
      <w:bookmarkStart w:id="2" w:name="_Ref441488033"/>
      <w:r>
        <w:t>Design</w:t>
      </w:r>
      <w:r w:rsidR="005A4773">
        <w:t xml:space="preserve"> </w:t>
      </w:r>
      <w:bookmarkEnd w:id="2"/>
      <w:r w:rsidR="00ED0D0D">
        <w:t>Considerations</w:t>
      </w:r>
    </w:p>
    <w:p w14:paraId="6E190E20" w14:textId="6D72158F" w:rsidR="00C75CBB" w:rsidRPr="00C75CBB" w:rsidRDefault="00C75CBB" w:rsidP="00C75CBB">
      <w:r>
        <w:t xml:space="preserve">For the concreteness of discussion, we will use 3.75 kHz subcarrier spacing for illustration in the following. However, the same ideas equally apply to 15 kHz subcarrier spacing. </w:t>
      </w:r>
    </w:p>
    <w:p w14:paraId="52E3EDC0" w14:textId="79802618" w:rsidR="00C82F5B" w:rsidRDefault="00C82F5B" w:rsidP="00C82F5B">
      <w:pPr>
        <w:pStyle w:val="Heading2"/>
      </w:pPr>
      <w:r>
        <w:t>Pattern with CP + 1 OFDM symbol pattern</w:t>
      </w:r>
    </w:p>
    <w:p w14:paraId="5AEDC12F" w14:textId="4A5DF37F" w:rsidR="00C75CBB" w:rsidRDefault="000C735C" w:rsidP="00C75CBB">
      <w:r>
        <w:t xml:space="preserve">This pattern is the well-known OFDM symbol pattern, as illustrated in </w:t>
      </w:r>
      <w:r>
        <w:fldChar w:fldCharType="begin"/>
      </w:r>
      <w:r>
        <w:instrText xml:space="preserve"> REF _Ref442946816 \h </w:instrText>
      </w:r>
      <w:r>
        <w:fldChar w:fldCharType="separate"/>
      </w:r>
      <w:r>
        <w:t xml:space="preserve">Figure </w:t>
      </w:r>
      <w:r>
        <w:rPr>
          <w:noProof/>
        </w:rPr>
        <w:t>1</w:t>
      </w:r>
      <w:r>
        <w:fldChar w:fldCharType="end"/>
      </w:r>
      <w:r>
        <w:t>.</w:t>
      </w:r>
    </w:p>
    <w:p w14:paraId="469B0E45" w14:textId="5F33F324" w:rsidR="000C735C" w:rsidRDefault="000C735C" w:rsidP="000C735C">
      <w:pPr>
        <w:jc w:val="center"/>
      </w:pPr>
      <w:r>
        <w:rPr>
          <w:noProof/>
          <w:lang w:val="en-US" w:eastAsia="en-US"/>
        </w:rPr>
        <w:drawing>
          <wp:inline distT="0" distB="0" distL="0" distR="0" wp14:anchorId="67039F3E" wp14:editId="20528B47">
            <wp:extent cx="4132053" cy="61451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150959" cy="617322"/>
                    </a:xfrm>
                    <a:prstGeom prst="rect">
                      <a:avLst/>
                    </a:prstGeom>
                  </pic:spPr>
                </pic:pic>
              </a:graphicData>
            </a:graphic>
          </wp:inline>
        </w:drawing>
      </w:r>
    </w:p>
    <w:p w14:paraId="457F3D9D" w14:textId="1F62ACA4" w:rsidR="000C735C" w:rsidRDefault="000C735C" w:rsidP="000C735C">
      <w:pPr>
        <w:pStyle w:val="Caption"/>
      </w:pPr>
      <w:bookmarkStart w:id="3" w:name="_Ref442946816"/>
      <w:r>
        <w:t xml:space="preserve">Figure </w:t>
      </w:r>
      <w:r>
        <w:fldChar w:fldCharType="begin"/>
      </w:r>
      <w:r>
        <w:instrText xml:space="preserve"> SEQ Figure \* ARABIC </w:instrText>
      </w:r>
      <w:r>
        <w:fldChar w:fldCharType="separate"/>
      </w:r>
      <w:r w:rsidR="00D4739B">
        <w:rPr>
          <w:noProof/>
        </w:rPr>
        <w:t>1</w:t>
      </w:r>
      <w:r>
        <w:fldChar w:fldCharType="end"/>
      </w:r>
      <w:bookmarkEnd w:id="3"/>
      <w:r>
        <w:t>: Classic OFDM symbol structure</w:t>
      </w:r>
    </w:p>
    <w:p w14:paraId="1153386A" w14:textId="73C7A412" w:rsidR="000C735C" w:rsidRDefault="000C735C" w:rsidP="000C735C">
      <w:r>
        <w:lastRenderedPageBreak/>
        <w:t xml:space="preserve">It is well known that the structure in </w:t>
      </w:r>
      <w:r>
        <w:fldChar w:fldCharType="begin"/>
      </w:r>
      <w:r>
        <w:instrText xml:space="preserve"> REF _Ref442946816 \h </w:instrText>
      </w:r>
      <w:r>
        <w:fldChar w:fldCharType="separate"/>
      </w:r>
      <w:r>
        <w:t xml:space="preserve">Figure </w:t>
      </w:r>
      <w:r>
        <w:rPr>
          <w:noProof/>
        </w:rPr>
        <w:t>1</w:t>
      </w:r>
      <w:r>
        <w:fldChar w:fldCharType="end"/>
      </w:r>
      <w:r>
        <w:t xml:space="preserve"> helps ensure orthogonality for transmissions on different tones</w:t>
      </w:r>
      <w:r w:rsidR="0045113A">
        <w:t xml:space="preserve"> even with unknown timing within CP</w:t>
      </w:r>
      <w:r>
        <w:t>.</w:t>
      </w:r>
      <w:r w:rsidR="0045113A">
        <w:t xml:space="preserve"> This is illustrated in </w:t>
      </w:r>
      <w:r w:rsidR="0045113A">
        <w:fldChar w:fldCharType="begin"/>
      </w:r>
      <w:r w:rsidR="0045113A">
        <w:instrText xml:space="preserve"> REF _Ref442948055 \h </w:instrText>
      </w:r>
      <w:r w:rsidR="0045113A">
        <w:fldChar w:fldCharType="separate"/>
      </w:r>
      <w:r w:rsidR="0045113A">
        <w:t xml:space="preserve">Figure </w:t>
      </w:r>
      <w:r w:rsidR="0045113A">
        <w:rPr>
          <w:noProof/>
        </w:rPr>
        <w:t>2</w:t>
      </w:r>
      <w:r w:rsidR="0045113A">
        <w:fldChar w:fldCharType="end"/>
      </w:r>
      <w:r w:rsidR="0045113A">
        <w:t>. Take the received symbol on tone f1 for example. The symbol sent on tone f2 appearing on tone f1 equals 0. Therefore, orthogonality is ensured.</w:t>
      </w:r>
    </w:p>
    <w:p w14:paraId="0476350D" w14:textId="5F3E5A76" w:rsidR="0045113A" w:rsidRDefault="0045113A" w:rsidP="000C735C">
      <m:oMathPara>
        <m:oMath>
          <m:r>
            <w:rPr>
              <w:rFonts w:ascii="Cambria Math" w:hAnsi="Cambria Math"/>
            </w:rPr>
            <m:t>ICI</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r>
            <w:rPr>
              <w:rFonts w:ascii="Cambria Math" w:hAnsi="Cambria Math"/>
            </w:rPr>
            <m:t>=</m:t>
          </m:r>
          <m:nary>
            <m:naryPr>
              <m:limLoc m:val="subSup"/>
              <m:ctrlPr>
                <w:rPr>
                  <w:rFonts w:ascii="Cambria Math" w:hAnsi="Cambria Math"/>
                  <w:i/>
                </w:rPr>
              </m:ctrlPr>
            </m:naryPr>
            <m:sub>
              <m:r>
                <w:rPr>
                  <w:rFonts w:ascii="Cambria Math" w:hAnsi="Cambria Math"/>
                </w:rPr>
                <m:t>0</m:t>
              </m:r>
            </m:sub>
            <m:sup>
              <m:r>
                <w:rPr>
                  <w:rFonts w:ascii="Cambria Math" w:hAnsi="Cambria Math"/>
                </w:rPr>
                <m:t>T</m:t>
              </m:r>
            </m:sup>
            <m:e>
              <m:sSub>
                <m:sSubPr>
                  <m:ctrlPr>
                    <w:rPr>
                      <w:rFonts w:ascii="Cambria Math" w:hAnsi="Cambria Math"/>
                      <w:i/>
                    </w:rPr>
                  </m:ctrlPr>
                </m:sSubPr>
                <m:e>
                  <m:r>
                    <w:rPr>
                      <w:rFonts w:ascii="Cambria Math" w:hAnsi="Cambria Math"/>
                    </w:rPr>
                    <m:t>x</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dt=0</m:t>
              </m:r>
            </m:e>
          </m:nary>
        </m:oMath>
      </m:oMathPara>
    </w:p>
    <w:p w14:paraId="7AD1C879" w14:textId="1C919F47" w:rsidR="000C735C" w:rsidRDefault="00E84011" w:rsidP="00E84011">
      <w:pPr>
        <w:jc w:val="center"/>
      </w:pPr>
      <w:r>
        <w:rPr>
          <w:noProof/>
          <w:lang w:val="en-US" w:eastAsia="en-US"/>
        </w:rPr>
        <w:drawing>
          <wp:inline distT="0" distB="0" distL="0" distR="0" wp14:anchorId="1998303A" wp14:editId="314A0326">
            <wp:extent cx="4339087" cy="1917821"/>
            <wp:effectExtent l="0" t="0" r="444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339087" cy="1917821"/>
                    </a:xfrm>
                    <a:prstGeom prst="rect">
                      <a:avLst/>
                    </a:prstGeom>
                  </pic:spPr>
                </pic:pic>
              </a:graphicData>
            </a:graphic>
          </wp:inline>
        </w:drawing>
      </w:r>
    </w:p>
    <w:p w14:paraId="5D04D612" w14:textId="53C028A9" w:rsidR="000C735C" w:rsidRPr="000C735C" w:rsidRDefault="006B0265" w:rsidP="006B0265">
      <w:pPr>
        <w:pStyle w:val="Caption"/>
      </w:pPr>
      <w:bookmarkStart w:id="4" w:name="_Ref442948055"/>
      <w:r>
        <w:t xml:space="preserve">Figure </w:t>
      </w:r>
      <w:r>
        <w:fldChar w:fldCharType="begin"/>
      </w:r>
      <w:r>
        <w:instrText xml:space="preserve"> SEQ Figure \* ARABIC </w:instrText>
      </w:r>
      <w:r>
        <w:fldChar w:fldCharType="separate"/>
      </w:r>
      <w:r w:rsidR="00D4739B">
        <w:rPr>
          <w:noProof/>
        </w:rPr>
        <w:t>2</w:t>
      </w:r>
      <w:r>
        <w:fldChar w:fldCharType="end"/>
      </w:r>
      <w:bookmarkEnd w:id="4"/>
      <w:r w:rsidR="00E84011">
        <w:t>: CP + 1 OFDM symbol ensures orthogonality under unknown timing within CP</w:t>
      </w:r>
    </w:p>
    <w:p w14:paraId="541AF26A" w14:textId="4DEBBF07" w:rsidR="00C82F5B" w:rsidRDefault="00C82F5B" w:rsidP="00C82F5B">
      <w:pPr>
        <w:pStyle w:val="Heading2"/>
      </w:pPr>
      <w:r>
        <w:t>Pattern with CP + X different OFDM symbols</w:t>
      </w:r>
    </w:p>
    <w:p w14:paraId="7F26AE80" w14:textId="5086137A" w:rsidR="007A5FB3" w:rsidRDefault="00FE0D06" w:rsidP="007A5FB3">
      <w:pPr>
        <w:pStyle w:val="BodyText"/>
      </w:pPr>
      <w:r>
        <w:t>For single tone NB-PRACH</w:t>
      </w:r>
      <w:r w:rsidR="007A5FB3">
        <w:t>, to support large cell size e.g. 35 km, we need a very long CP of length at least 233.3 us to accommodate the maximum round-trip delay. This CP length is almost as long as the symbol length of 3.75 kHz tone spacing. To reduce CP overhead, a naïve approach would be to concatenate X (&gt;1) symbols but add only one CP. However, this approach causes inter-carrier interference, if the X symbols sharing the same CP are not the same.</w:t>
      </w:r>
    </w:p>
    <w:p w14:paraId="4CEE349C" w14:textId="5D39ECD3" w:rsidR="0045113A" w:rsidRDefault="00BF0A08" w:rsidP="0045113A">
      <w:r>
        <w:t xml:space="preserve">We use </w:t>
      </w:r>
      <w:r>
        <w:fldChar w:fldCharType="begin"/>
      </w:r>
      <w:r>
        <w:instrText xml:space="preserve"> REF _Ref442949275 \h </w:instrText>
      </w:r>
      <w:r>
        <w:fldChar w:fldCharType="separate"/>
      </w:r>
      <w:r>
        <w:t xml:space="preserve">Figure </w:t>
      </w:r>
      <w:r>
        <w:rPr>
          <w:noProof/>
        </w:rPr>
        <w:t>3</w:t>
      </w:r>
      <w:r>
        <w:fldChar w:fldCharType="end"/>
      </w:r>
      <w:r>
        <w:t xml:space="preserve"> for illustration. For simplicity, assume the CP has the same length as an OFDM symbol, and X=2. On tone f1, the transmitted symbols are (X1, Y1, X1), and X1 is different from Y1. Similarly, on tone f2, the transmitted symbols are (X2, Y2, X2), and X2 is different from Y2. Take the received symbols on tone f1 for example. The symbols sent on tone f2 appearing on tone f1 does not equal 0. Therefore, the orthogonality is lost and inter-carrier interference arises.</w:t>
      </w:r>
    </w:p>
    <w:p w14:paraId="123F347F" w14:textId="24AAD3E4" w:rsidR="00BF0A08" w:rsidRPr="00BF0A08" w:rsidRDefault="00BF0A08" w:rsidP="0045113A">
      <m:oMathPara>
        <m:oMath>
          <m:r>
            <w:rPr>
              <w:rFonts w:ascii="Cambria Math" w:hAnsi="Cambria Math"/>
            </w:rPr>
            <m:t>ICI</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r>
            <w:rPr>
              <w:rFonts w:ascii="Cambria Math" w:hAnsi="Cambria Math"/>
            </w:rPr>
            <m:t>=</m:t>
          </m:r>
          <m:nary>
            <m:naryPr>
              <m:limLoc m:val="subSup"/>
              <m:ctrlPr>
                <w:rPr>
                  <w:rFonts w:ascii="Cambria Math" w:hAnsi="Cambria Math"/>
                  <w:i/>
                </w:rPr>
              </m:ctrlPr>
            </m:naryPr>
            <m:sub>
              <m:r>
                <w:rPr>
                  <w:rFonts w:ascii="Cambria Math" w:hAnsi="Cambria Math"/>
                </w:rPr>
                <m:t>0</m:t>
              </m:r>
            </m:sub>
            <m:sup>
              <m:sSub>
                <m:sSubPr>
                  <m:ctrlPr>
                    <w:rPr>
                      <w:rFonts w:ascii="Cambria Math" w:hAnsi="Cambria Math"/>
                      <w:i/>
                    </w:rPr>
                  </m:ctrlPr>
                </m:sSubPr>
                <m:e>
                  <m:r>
                    <w:rPr>
                      <w:rFonts w:ascii="Cambria Math" w:hAnsi="Cambria Math"/>
                    </w:rPr>
                    <m:t>t</m:t>
                  </m:r>
                </m:e>
                <m:sub>
                  <m:r>
                    <w:rPr>
                      <w:rFonts w:ascii="Cambria Math" w:hAnsi="Cambria Math"/>
                    </w:rPr>
                    <m:t>1</m:t>
                  </m:r>
                </m:sub>
              </m:sSub>
            </m:sup>
            <m:e>
              <m:sSub>
                <m:sSubPr>
                  <m:ctrlPr>
                    <w:rPr>
                      <w:rFonts w:ascii="Cambria Math" w:hAnsi="Cambria Math"/>
                      <w:i/>
                    </w:rPr>
                  </m:ctrlPr>
                </m:sSubPr>
                <m:e>
                  <m:r>
                    <w:rPr>
                      <w:rFonts w:ascii="Cambria Math" w:hAnsi="Cambria Math"/>
                    </w:rPr>
                    <m:t>x</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 xml:space="preserve">dt+ </m:t>
              </m:r>
              <m:nary>
                <m:naryPr>
                  <m:limLoc m:val="subSup"/>
                  <m:ctrlPr>
                    <w:rPr>
                      <w:rFonts w:ascii="Cambria Math" w:hAnsi="Cambria Math"/>
                      <w:i/>
                    </w:rPr>
                  </m:ctrlPr>
                </m:naryPr>
                <m:sub>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hAnsi="Cambria Math"/>
                    </w:rPr>
                    <m:t>T</m:t>
                  </m:r>
                </m:sup>
                <m:e>
                  <m:sSub>
                    <m:sSubPr>
                      <m:ctrlPr>
                        <w:rPr>
                          <w:rFonts w:ascii="Cambria Math" w:hAnsi="Cambria Math"/>
                          <w:i/>
                        </w:rPr>
                      </m:ctrlPr>
                    </m:sSubPr>
                    <m:e>
                      <m:r>
                        <w:rPr>
                          <w:rFonts w:ascii="Cambria Math" w:hAnsi="Cambria Math"/>
                        </w:rPr>
                        <m:t>y</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dt≠0</m:t>
                  </m:r>
                </m:e>
              </m:nary>
            </m:e>
          </m:nary>
        </m:oMath>
      </m:oMathPara>
    </w:p>
    <w:p w14:paraId="61D9EBD1" w14:textId="5805BEC5" w:rsidR="00BF0A08" w:rsidRDefault="00BF0A08" w:rsidP="0045113A">
      <w:r>
        <w:t xml:space="preserve">We can understand the above result intuitively. In the Rx FFT window, from tone f1 perspective, the samples start from the last part of samples of X2 and </w:t>
      </w:r>
      <w:r w:rsidR="00470CE1">
        <w:t xml:space="preserve">then changes </w:t>
      </w:r>
      <w:r>
        <w:t>to the first part of samples of Y2. The phenomenon is analogous to that there is varying channel effect within the Rx OFDM FFT window. It is well known that if channel changes within one OFDM symbol window, inter-carrier interference arises.</w:t>
      </w:r>
    </w:p>
    <w:p w14:paraId="336C8BBC" w14:textId="6D6C58EA" w:rsidR="00392CD9" w:rsidRDefault="00392CD9" w:rsidP="00392CD9">
      <w:pPr>
        <w:jc w:val="center"/>
      </w:pPr>
      <w:r>
        <w:rPr>
          <w:noProof/>
          <w:lang w:val="en-US" w:eastAsia="en-US"/>
        </w:rPr>
        <w:drawing>
          <wp:inline distT="0" distB="0" distL="0" distR="0" wp14:anchorId="709BF19B" wp14:editId="6F89F670">
            <wp:extent cx="4390845" cy="1878306"/>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390845" cy="1878306"/>
                    </a:xfrm>
                    <a:prstGeom prst="rect">
                      <a:avLst/>
                    </a:prstGeom>
                  </pic:spPr>
                </pic:pic>
              </a:graphicData>
            </a:graphic>
          </wp:inline>
        </w:drawing>
      </w:r>
    </w:p>
    <w:p w14:paraId="488F95A3" w14:textId="3F91D660" w:rsidR="00BF0A08" w:rsidRPr="00BF0A08" w:rsidRDefault="00ED12CB" w:rsidP="00BF0A08">
      <w:pPr>
        <w:pStyle w:val="Caption"/>
      </w:pPr>
      <w:bookmarkStart w:id="5" w:name="_Ref442949275"/>
      <w:r>
        <w:t xml:space="preserve">Figure </w:t>
      </w:r>
      <w:r>
        <w:fldChar w:fldCharType="begin"/>
      </w:r>
      <w:r>
        <w:instrText xml:space="preserve"> SEQ Figure \* ARABIC </w:instrText>
      </w:r>
      <w:r>
        <w:fldChar w:fldCharType="separate"/>
      </w:r>
      <w:r w:rsidR="00D4739B">
        <w:rPr>
          <w:noProof/>
        </w:rPr>
        <w:t>3</w:t>
      </w:r>
      <w:r>
        <w:fldChar w:fldCharType="end"/>
      </w:r>
      <w:bookmarkEnd w:id="5"/>
      <w:r w:rsidR="00392CD9">
        <w:t>: CP + X different OFDM symbol</w:t>
      </w:r>
      <w:r w:rsidR="00C6154C">
        <w:t>s</w:t>
      </w:r>
      <w:r w:rsidR="00392CD9">
        <w:t xml:space="preserve"> leads to inter-carrier interference under unknown timing within CP</w:t>
      </w:r>
    </w:p>
    <w:p w14:paraId="7DCBFEE0" w14:textId="00C39400" w:rsidR="00AC76D9" w:rsidRPr="00C75CBB" w:rsidRDefault="00AC76D9" w:rsidP="00AC76D9">
      <w:pPr>
        <w:rPr>
          <w:i/>
        </w:rPr>
      </w:pPr>
      <w:r>
        <w:rPr>
          <w:i/>
        </w:rPr>
        <w:t>Observation</w:t>
      </w:r>
      <w:r w:rsidR="00306C5D">
        <w:rPr>
          <w:i/>
        </w:rPr>
        <w:t xml:space="preserve"> 1</w:t>
      </w:r>
      <w:r w:rsidRPr="00C75CBB">
        <w:rPr>
          <w:i/>
        </w:rPr>
        <w:t xml:space="preserve">: </w:t>
      </w:r>
      <w:r w:rsidRPr="00AC76D9">
        <w:rPr>
          <w:i/>
        </w:rPr>
        <w:t>CP + X different OFDM symbols leads to inter-carrier interference under unknown timing within CP</w:t>
      </w:r>
      <w:r>
        <w:rPr>
          <w:i/>
        </w:rPr>
        <w:t xml:space="preserve"> in NB-PRACH transmissions.</w:t>
      </w:r>
    </w:p>
    <w:p w14:paraId="626DD040" w14:textId="55211A5C" w:rsidR="00AC76D9" w:rsidRDefault="00AC76D9" w:rsidP="00AC76D9">
      <w:pPr>
        <w:pStyle w:val="Heading2"/>
        <w:numPr>
          <w:ilvl w:val="0"/>
          <w:numId w:val="0"/>
        </w:numPr>
      </w:pPr>
    </w:p>
    <w:p w14:paraId="45A26E59" w14:textId="2FB2C98D" w:rsidR="00C82F5B" w:rsidRDefault="00C82F5B" w:rsidP="00C82F5B">
      <w:pPr>
        <w:pStyle w:val="Heading2"/>
      </w:pPr>
      <w:r>
        <w:t>Pattern with CP + X same OFDM symbols</w:t>
      </w:r>
    </w:p>
    <w:p w14:paraId="0B14744F" w14:textId="77777777" w:rsidR="006B5051" w:rsidRDefault="008D490E" w:rsidP="006B5051">
      <w:r>
        <w:t xml:space="preserve">To reduce CP overhead while maintaining orthogonality, we </w:t>
      </w:r>
      <w:r w:rsidR="008661B5">
        <w:t>have proposed to repeat the same OFDM symbol X times back to RAN1 #82bis meeting.</w:t>
      </w:r>
      <w:r w:rsidR="00D4739B">
        <w:t xml:space="preserve"> </w:t>
      </w:r>
      <w:r w:rsidR="006B5051">
        <w:t xml:space="preserve">We use </w:t>
      </w:r>
      <w:r w:rsidR="006B5051">
        <w:fldChar w:fldCharType="begin"/>
      </w:r>
      <w:r w:rsidR="006B5051">
        <w:instrText xml:space="preserve"> REF _Ref442950918 \h </w:instrText>
      </w:r>
      <w:r w:rsidR="006B5051">
        <w:fldChar w:fldCharType="separate"/>
      </w:r>
      <w:r w:rsidR="006B5051">
        <w:t xml:space="preserve">Figure </w:t>
      </w:r>
      <w:r w:rsidR="006B5051">
        <w:rPr>
          <w:noProof/>
        </w:rPr>
        <w:t>4</w:t>
      </w:r>
      <w:r w:rsidR="006B5051">
        <w:fldChar w:fldCharType="end"/>
      </w:r>
      <w:r w:rsidR="006B5051">
        <w:t xml:space="preserve"> for illustration. For simplicity, assume the CP has the same length as an OFDM symbol, and X=2. On tone f1, the transmitted symbols are (X1, X1, X1). Similarly, on tone f2, the transmitted symbols are (X2, X2, X2). Take the received symbols on tone f1 for example. The symbols sent on tone f2 appearing on tone f1 equals 0. Therefore, orthogonality is ensured.</w:t>
      </w:r>
    </w:p>
    <w:p w14:paraId="7DB72E44" w14:textId="2ABEB080" w:rsidR="006B5051" w:rsidRPr="00BF0A08" w:rsidRDefault="006B5051" w:rsidP="006B5051">
      <m:oMathPara>
        <m:oMath>
          <m:r>
            <w:rPr>
              <w:rFonts w:ascii="Cambria Math" w:hAnsi="Cambria Math"/>
            </w:rPr>
            <m:t>ICI</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r>
            <w:rPr>
              <w:rFonts w:ascii="Cambria Math" w:hAnsi="Cambria Math"/>
            </w:rPr>
            <m:t>=</m:t>
          </m:r>
          <m:nary>
            <m:naryPr>
              <m:limLoc m:val="subSup"/>
              <m:ctrlPr>
                <w:rPr>
                  <w:rFonts w:ascii="Cambria Math" w:hAnsi="Cambria Math"/>
                  <w:i/>
                </w:rPr>
              </m:ctrlPr>
            </m:naryPr>
            <m:sub>
              <m:r>
                <w:rPr>
                  <w:rFonts w:ascii="Cambria Math" w:hAnsi="Cambria Math"/>
                </w:rPr>
                <m:t>0</m:t>
              </m:r>
            </m:sub>
            <m:sup>
              <m:sSub>
                <m:sSubPr>
                  <m:ctrlPr>
                    <w:rPr>
                      <w:rFonts w:ascii="Cambria Math" w:hAnsi="Cambria Math"/>
                      <w:i/>
                    </w:rPr>
                  </m:ctrlPr>
                </m:sSubPr>
                <m:e>
                  <m:r>
                    <w:rPr>
                      <w:rFonts w:ascii="Cambria Math" w:hAnsi="Cambria Math"/>
                    </w:rPr>
                    <m:t>t</m:t>
                  </m:r>
                </m:e>
                <m:sub>
                  <m:r>
                    <w:rPr>
                      <w:rFonts w:ascii="Cambria Math" w:hAnsi="Cambria Math"/>
                    </w:rPr>
                    <m:t>1</m:t>
                  </m:r>
                </m:sub>
              </m:sSub>
            </m:sup>
            <m:e>
              <m:sSub>
                <m:sSubPr>
                  <m:ctrlPr>
                    <w:rPr>
                      <w:rFonts w:ascii="Cambria Math" w:hAnsi="Cambria Math"/>
                      <w:i/>
                    </w:rPr>
                  </m:ctrlPr>
                </m:sSubPr>
                <m:e>
                  <m:r>
                    <w:rPr>
                      <w:rFonts w:ascii="Cambria Math" w:hAnsi="Cambria Math"/>
                    </w:rPr>
                    <m:t>x</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 xml:space="preserve">dt+ </m:t>
              </m:r>
              <m:nary>
                <m:naryPr>
                  <m:limLoc m:val="subSup"/>
                  <m:ctrlPr>
                    <w:rPr>
                      <w:rFonts w:ascii="Cambria Math" w:hAnsi="Cambria Math"/>
                      <w:i/>
                    </w:rPr>
                  </m:ctrlPr>
                </m:naryPr>
                <m:sub>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hAnsi="Cambria Math"/>
                    </w:rPr>
                    <m:t>T</m:t>
                  </m:r>
                </m:sup>
                <m:e>
                  <m:sSub>
                    <m:sSubPr>
                      <m:ctrlPr>
                        <w:rPr>
                          <w:rFonts w:ascii="Cambria Math" w:hAnsi="Cambria Math"/>
                          <w:i/>
                        </w:rPr>
                      </m:ctrlPr>
                    </m:sSubPr>
                    <m:e>
                      <m:r>
                        <w:rPr>
                          <w:rFonts w:ascii="Cambria Math" w:hAnsi="Cambria Math"/>
                        </w:rPr>
                        <m:t>x</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dt=0</m:t>
                  </m:r>
                </m:e>
              </m:nary>
            </m:e>
          </m:nary>
        </m:oMath>
      </m:oMathPara>
    </w:p>
    <w:p w14:paraId="4A3944CA" w14:textId="6BE917B3" w:rsidR="00D4739B" w:rsidRDefault="00D4739B" w:rsidP="00D4739B">
      <w:pPr>
        <w:jc w:val="center"/>
      </w:pPr>
      <w:r>
        <w:rPr>
          <w:noProof/>
          <w:lang w:val="en-US" w:eastAsia="en-US"/>
        </w:rPr>
        <w:drawing>
          <wp:inline distT="0" distB="0" distL="0" distR="0" wp14:anchorId="683F30B3" wp14:editId="0A4813AD">
            <wp:extent cx="4459856" cy="1878762"/>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464723" cy="1880812"/>
                    </a:xfrm>
                    <a:prstGeom prst="rect">
                      <a:avLst/>
                    </a:prstGeom>
                  </pic:spPr>
                </pic:pic>
              </a:graphicData>
            </a:graphic>
          </wp:inline>
        </w:drawing>
      </w:r>
    </w:p>
    <w:p w14:paraId="0215B58B" w14:textId="47BCAB4A" w:rsidR="00D4739B" w:rsidRPr="00D4739B" w:rsidRDefault="00D4739B" w:rsidP="00D4739B">
      <w:pPr>
        <w:pStyle w:val="Caption"/>
      </w:pPr>
      <w:bookmarkStart w:id="6" w:name="_Ref442950918"/>
      <w:r>
        <w:t xml:space="preserve">Figure </w:t>
      </w:r>
      <w:r>
        <w:fldChar w:fldCharType="begin"/>
      </w:r>
      <w:r>
        <w:instrText xml:space="preserve"> SEQ Figure \* ARABIC </w:instrText>
      </w:r>
      <w:r>
        <w:fldChar w:fldCharType="separate"/>
      </w:r>
      <w:r>
        <w:rPr>
          <w:noProof/>
        </w:rPr>
        <w:t>4</w:t>
      </w:r>
      <w:r>
        <w:fldChar w:fldCharType="end"/>
      </w:r>
      <w:bookmarkEnd w:id="6"/>
      <w:r>
        <w:t>: CP + X same OFDM symbols ensures orthogonality under unknown timing within CP</w:t>
      </w:r>
    </w:p>
    <w:p w14:paraId="2CA5745D" w14:textId="77777777" w:rsidR="00AC76D9" w:rsidRDefault="00AC76D9" w:rsidP="00C82F5B">
      <w:pPr>
        <w:rPr>
          <w:i/>
        </w:rPr>
      </w:pPr>
    </w:p>
    <w:p w14:paraId="2A52C149" w14:textId="1BCCC13C" w:rsidR="00306C5D" w:rsidRPr="00C75CBB" w:rsidRDefault="00306C5D" w:rsidP="00306C5D">
      <w:pPr>
        <w:rPr>
          <w:i/>
        </w:rPr>
      </w:pPr>
      <w:r>
        <w:rPr>
          <w:i/>
        </w:rPr>
        <w:t>Observation 2</w:t>
      </w:r>
      <w:r w:rsidRPr="00C75CBB">
        <w:rPr>
          <w:i/>
        </w:rPr>
        <w:t xml:space="preserve">: </w:t>
      </w:r>
      <w:r w:rsidRPr="00AC76D9">
        <w:rPr>
          <w:i/>
        </w:rPr>
        <w:t xml:space="preserve">CP + X </w:t>
      </w:r>
      <w:r>
        <w:rPr>
          <w:i/>
        </w:rPr>
        <w:t>same</w:t>
      </w:r>
      <w:r w:rsidRPr="00AC76D9">
        <w:rPr>
          <w:i/>
        </w:rPr>
        <w:t xml:space="preserve"> OFDM symbols </w:t>
      </w:r>
      <w:r w:rsidR="00C56E65">
        <w:rPr>
          <w:i/>
        </w:rPr>
        <w:t>ensures orthogonality</w:t>
      </w:r>
      <w:r w:rsidRPr="00AC76D9">
        <w:rPr>
          <w:i/>
        </w:rPr>
        <w:t xml:space="preserve"> under unknown timing within CP</w:t>
      </w:r>
      <w:r>
        <w:rPr>
          <w:i/>
        </w:rPr>
        <w:t xml:space="preserve"> in NB-PRACH transmissions.</w:t>
      </w:r>
    </w:p>
    <w:p w14:paraId="52AD6EF6" w14:textId="77777777" w:rsidR="005276E5" w:rsidRPr="005276E5" w:rsidRDefault="005276E5" w:rsidP="005276E5"/>
    <w:p w14:paraId="69604CDC" w14:textId="7A72F937" w:rsidR="00055FB3" w:rsidRPr="00E330BC" w:rsidRDefault="00055FB3" w:rsidP="00055FB3">
      <w:pPr>
        <w:pStyle w:val="Heading1"/>
      </w:pPr>
      <w:r>
        <w:t>Conclusions</w:t>
      </w:r>
    </w:p>
    <w:p w14:paraId="1C6EB1F9" w14:textId="135B802B" w:rsidR="006D203B" w:rsidRDefault="00511F61" w:rsidP="00055FB3">
      <w:pPr>
        <w:pStyle w:val="BodyText"/>
      </w:pPr>
      <w:r>
        <w:t xml:space="preserve">In this contribution, we have </w:t>
      </w:r>
      <w:r w:rsidR="00880D53">
        <w:t>made the following observations</w:t>
      </w:r>
      <w:r>
        <w:t>.</w:t>
      </w:r>
    </w:p>
    <w:p w14:paraId="3EDF48AA" w14:textId="77777777" w:rsidR="00E15682" w:rsidRDefault="00E15682" w:rsidP="00055FB3">
      <w:pPr>
        <w:pStyle w:val="BodyText"/>
      </w:pPr>
    </w:p>
    <w:p w14:paraId="460D02D4" w14:textId="77777777" w:rsidR="000C6BD6" w:rsidRPr="00C75CBB" w:rsidRDefault="000C6BD6" w:rsidP="000C6BD6">
      <w:pPr>
        <w:rPr>
          <w:i/>
        </w:rPr>
      </w:pPr>
      <w:r>
        <w:rPr>
          <w:i/>
        </w:rPr>
        <w:t>Observation 1</w:t>
      </w:r>
      <w:r w:rsidRPr="00C75CBB">
        <w:rPr>
          <w:i/>
        </w:rPr>
        <w:t xml:space="preserve">: </w:t>
      </w:r>
      <w:r w:rsidRPr="00AC76D9">
        <w:rPr>
          <w:i/>
        </w:rPr>
        <w:t>CP + X different OFDM symbols leads to inter-carrier interference under unknown timing within CP</w:t>
      </w:r>
      <w:r>
        <w:rPr>
          <w:i/>
        </w:rPr>
        <w:t xml:space="preserve"> in NB-PRACH transmissions.</w:t>
      </w:r>
    </w:p>
    <w:p w14:paraId="7789186D" w14:textId="77777777" w:rsidR="000C6BD6" w:rsidRDefault="000C6BD6" w:rsidP="000C6BD6">
      <w:pPr>
        <w:rPr>
          <w:i/>
        </w:rPr>
      </w:pPr>
    </w:p>
    <w:p w14:paraId="0E5F428F" w14:textId="77777777" w:rsidR="000C6BD6" w:rsidRPr="00C75CBB" w:rsidRDefault="000C6BD6" w:rsidP="000C6BD6">
      <w:pPr>
        <w:rPr>
          <w:i/>
        </w:rPr>
      </w:pPr>
      <w:r>
        <w:rPr>
          <w:i/>
        </w:rPr>
        <w:t>Observation 2</w:t>
      </w:r>
      <w:r w:rsidRPr="00C75CBB">
        <w:rPr>
          <w:i/>
        </w:rPr>
        <w:t xml:space="preserve">: </w:t>
      </w:r>
      <w:r w:rsidRPr="00AC76D9">
        <w:rPr>
          <w:i/>
        </w:rPr>
        <w:t xml:space="preserve">CP + X </w:t>
      </w:r>
      <w:r>
        <w:rPr>
          <w:i/>
        </w:rPr>
        <w:t>same</w:t>
      </w:r>
      <w:r w:rsidRPr="00AC76D9">
        <w:rPr>
          <w:i/>
        </w:rPr>
        <w:t xml:space="preserve"> OFDM symbols </w:t>
      </w:r>
      <w:r>
        <w:rPr>
          <w:i/>
        </w:rPr>
        <w:t>ensures orthogonality</w:t>
      </w:r>
      <w:r w:rsidRPr="00AC76D9">
        <w:rPr>
          <w:i/>
        </w:rPr>
        <w:t xml:space="preserve"> under unknown timing within CP</w:t>
      </w:r>
      <w:r>
        <w:rPr>
          <w:i/>
        </w:rPr>
        <w:t xml:space="preserve"> in NB-PRACH transmissions.</w:t>
      </w:r>
    </w:p>
    <w:p w14:paraId="07E02A18" w14:textId="77777777" w:rsidR="00880D53" w:rsidRDefault="00880D53" w:rsidP="00055FB3">
      <w:pPr>
        <w:pStyle w:val="BodyText"/>
      </w:pPr>
    </w:p>
    <w:p w14:paraId="3DBBA0B4" w14:textId="3D504720" w:rsidR="00880D53" w:rsidRDefault="00880D53" w:rsidP="00055FB3">
      <w:pPr>
        <w:pStyle w:val="BodyText"/>
      </w:pPr>
      <w:r>
        <w:t>Based on the observations, we make the following proposal.</w:t>
      </w:r>
    </w:p>
    <w:p w14:paraId="6210E5E4" w14:textId="77777777" w:rsidR="00880D53" w:rsidRDefault="00880D53" w:rsidP="00055FB3">
      <w:pPr>
        <w:pStyle w:val="BodyText"/>
      </w:pPr>
    </w:p>
    <w:p w14:paraId="739275FB" w14:textId="41161994" w:rsidR="00C75CBB" w:rsidRPr="00880D53" w:rsidRDefault="00FE32C0" w:rsidP="00C75CBB">
      <w:pPr>
        <w:rPr>
          <w:i/>
        </w:rPr>
      </w:pPr>
      <w:r w:rsidRPr="00880D53">
        <w:rPr>
          <w:i/>
        </w:rPr>
        <w:t>Proposal 1:</w:t>
      </w:r>
      <w:r w:rsidR="00C75CBB" w:rsidRPr="00880D53">
        <w:rPr>
          <w:i/>
        </w:rPr>
        <w:t xml:space="preserve"> </w:t>
      </w:r>
      <w:r w:rsidR="00880D53" w:rsidRPr="00880D53">
        <w:rPr>
          <w:i/>
        </w:rPr>
        <w:t>To reduce CP overhead while maintaining orthogonality, use CP + X</w:t>
      </w:r>
      <w:r w:rsidR="00880D53">
        <w:rPr>
          <w:i/>
        </w:rPr>
        <w:t xml:space="preserve"> </w:t>
      </w:r>
      <w:r w:rsidR="00880D53" w:rsidRPr="00880D53">
        <w:rPr>
          <w:i/>
        </w:rPr>
        <w:t>same OFDM symbols as a symbol group in NB-PRACH transmissions.</w:t>
      </w:r>
    </w:p>
    <w:p w14:paraId="04C11942" w14:textId="3DC6238B" w:rsidR="00FE32C0" w:rsidRPr="00201144" w:rsidRDefault="00FE32C0" w:rsidP="00FE32C0">
      <w:pPr>
        <w:rPr>
          <w:i/>
        </w:rPr>
      </w:pPr>
      <w:r w:rsidRPr="00201144">
        <w:rPr>
          <w:i/>
        </w:rPr>
        <w:t xml:space="preserve"> </w:t>
      </w:r>
    </w:p>
    <w:p w14:paraId="2FEE15AA" w14:textId="77777777" w:rsidR="000D1E59" w:rsidRDefault="000D1E59" w:rsidP="00A24257">
      <w:pPr>
        <w:rPr>
          <w:i/>
        </w:rPr>
      </w:pP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61FF528C" w14:textId="5215ED5A" w:rsidR="00BD48C2" w:rsidRDefault="00594E36" w:rsidP="00990218">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7" w:name="_Ref433894019"/>
      <w:bookmarkStart w:id="8" w:name="_Ref430944728"/>
      <w:r>
        <w:rPr>
          <w:lang w:val="en-US"/>
        </w:rPr>
        <w:t>R</w:t>
      </w:r>
      <w:r w:rsidR="00F5137F">
        <w:t>P-151621, “New Work Item: NarrowBand IOT (NB-IOT),” source Qualcomm Inc., RAN #69.</w:t>
      </w:r>
      <w:bookmarkEnd w:id="7"/>
    </w:p>
    <w:p w14:paraId="08567AD8" w14:textId="7A03F1CF" w:rsidR="00741459" w:rsidRDefault="00570767" w:rsidP="00990218">
      <w:pPr>
        <w:pStyle w:val="Reference"/>
        <w:numPr>
          <w:ilvl w:val="0"/>
          <w:numId w:val="1"/>
        </w:numPr>
        <w:overflowPunct/>
        <w:autoSpaceDE/>
        <w:autoSpaceDN/>
        <w:adjustRightInd/>
        <w:spacing w:after="200" w:line="276" w:lineRule="auto"/>
        <w:jc w:val="left"/>
        <w:textAlignment w:val="auto"/>
      </w:pPr>
      <w:bookmarkStart w:id="9" w:name="_Ref436223503"/>
      <w:r>
        <w:lastRenderedPageBreak/>
        <w:t>RP-152284, “New Work Item: Narrowband IoT (NB-IoT),” sources Huawei and HiSilicon, RAN #70</w:t>
      </w:r>
      <w:r w:rsidR="00741459">
        <w:t>.</w:t>
      </w:r>
      <w:bookmarkEnd w:id="9"/>
    </w:p>
    <w:p w14:paraId="0CE08FE2" w14:textId="77777777" w:rsidR="002B0F80" w:rsidRDefault="005560B2" w:rsidP="002B0F80">
      <w:pPr>
        <w:pStyle w:val="Reference"/>
        <w:numPr>
          <w:ilvl w:val="0"/>
          <w:numId w:val="1"/>
        </w:numPr>
        <w:overflowPunct/>
        <w:autoSpaceDE/>
        <w:autoSpaceDN/>
        <w:adjustRightInd/>
        <w:spacing w:after="200" w:line="276" w:lineRule="auto"/>
        <w:jc w:val="left"/>
        <w:textAlignment w:val="auto"/>
        <w:rPr>
          <w:rFonts w:cs="Arial"/>
        </w:rPr>
      </w:pPr>
      <w:bookmarkStart w:id="10" w:name="_Ref441756286"/>
      <w:r w:rsidRPr="005560B2">
        <w:t>RAN1 Chairman’s Notes</w:t>
      </w:r>
      <w:r>
        <w:t xml:space="preserve">, </w:t>
      </w:r>
      <w:bookmarkStart w:id="11" w:name="_Ref436223730"/>
      <w:bookmarkEnd w:id="10"/>
      <w:r w:rsidR="002B0F80" w:rsidRPr="0057152E">
        <w:rPr>
          <w:rFonts w:cs="Arial"/>
        </w:rPr>
        <w:t>RAN1 NB-IoT Ad Hoc, January 2016.</w:t>
      </w:r>
    </w:p>
    <w:p w14:paraId="15CB8426" w14:textId="31C298E7" w:rsidR="00BC464C" w:rsidRPr="000B3D9D" w:rsidRDefault="001B32BE" w:rsidP="005B34D4">
      <w:pPr>
        <w:pStyle w:val="Reference"/>
        <w:numPr>
          <w:ilvl w:val="0"/>
          <w:numId w:val="1"/>
        </w:numPr>
        <w:overflowPunct/>
        <w:autoSpaceDE/>
        <w:autoSpaceDN/>
        <w:adjustRightInd/>
        <w:spacing w:after="200" w:line="276" w:lineRule="auto"/>
        <w:jc w:val="left"/>
        <w:textAlignment w:val="auto"/>
      </w:pPr>
      <w:r>
        <w:t>R1-</w:t>
      </w:r>
      <w:bookmarkEnd w:id="8"/>
      <w:bookmarkEnd w:id="11"/>
      <w:r w:rsidR="005B34D4">
        <w:t>156011, “</w:t>
      </w:r>
      <w:r w:rsidR="005B34D4" w:rsidRPr="005B34D4">
        <w:t>Narrowband LTE – Random Access Design</w:t>
      </w:r>
      <w:r w:rsidR="005B34D4">
        <w:t>,”</w:t>
      </w:r>
      <w:r w:rsidR="00DD48B3">
        <w:t xml:space="preserve"> source Ericsson,</w:t>
      </w:r>
      <w:r w:rsidR="005B34D4">
        <w:t xml:space="preserve"> 3GPP TSG-RAN1 #82bis, </w:t>
      </w:r>
      <w:r w:rsidR="005B34D4" w:rsidRPr="005B34D4">
        <w:t>5th – 9th October 2015 Malmö, Sweden</w:t>
      </w:r>
      <w:r w:rsidR="005B34D4">
        <w:t>.</w:t>
      </w:r>
    </w:p>
    <w:sectPr w:rsidR="00BC464C" w:rsidRPr="000B3D9D"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F72C88" w14:textId="77777777" w:rsidR="00910BEB" w:rsidRDefault="00910BEB">
      <w:pPr>
        <w:spacing w:after="0"/>
      </w:pPr>
      <w:r>
        <w:separator/>
      </w:r>
    </w:p>
  </w:endnote>
  <w:endnote w:type="continuationSeparator" w:id="0">
    <w:p w14:paraId="7F1D46C1" w14:textId="77777777" w:rsidR="00910BEB" w:rsidRDefault="00910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D2956" w:rsidRDefault="000D2956">
    <w:pPr>
      <w:pStyle w:val="Footer"/>
      <w:ind w:right="-1521"/>
    </w:pPr>
    <w:r>
      <w:rPr>
        <w:rStyle w:val="PageNumber"/>
      </w:rPr>
      <w:fldChar w:fldCharType="begin"/>
    </w:r>
    <w:r>
      <w:rPr>
        <w:rStyle w:val="PageNumber"/>
      </w:rPr>
      <w:instrText xml:space="preserve"> PAGE </w:instrText>
    </w:r>
    <w:r>
      <w:rPr>
        <w:rStyle w:val="PageNumber"/>
      </w:rPr>
      <w:fldChar w:fldCharType="separate"/>
    </w:r>
    <w:r w:rsidR="00064444">
      <w:rPr>
        <w:rStyle w:val="PageNumber"/>
      </w:rPr>
      <w:t>4</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4444">
      <w:rPr>
        <w:rStyle w:val="PageNumber"/>
      </w:rPr>
      <w:t>4</w:t>
    </w:r>
    <w:r>
      <w:rPr>
        <w:rStyle w:val="PageNumber"/>
      </w:rPr>
      <w:fldChar w:fldCharType="end"/>
    </w:r>
    <w:r>
      <w:rPr>
        <w:rStyle w:val="PageNumber"/>
      </w:rPr>
      <w:t>)</w:t>
    </w:r>
    <w:bookmarkEnd w:id="1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D2956" w:rsidRDefault="000D2956">
    <w:pPr>
      <w:pStyle w:val="Footer"/>
    </w:pPr>
    <w:r>
      <w:rPr>
        <w:rStyle w:val="PageNumber"/>
      </w:rPr>
      <w:fldChar w:fldCharType="begin"/>
    </w:r>
    <w:r>
      <w:rPr>
        <w:rStyle w:val="PageNumber"/>
      </w:rPr>
      <w:instrText xml:space="preserve"> PAGE </w:instrText>
    </w:r>
    <w:r>
      <w:rPr>
        <w:rStyle w:val="PageNumber"/>
      </w:rPr>
      <w:fldChar w:fldCharType="separate"/>
    </w:r>
    <w:r w:rsidR="002F126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1262">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A6130" w14:textId="77777777" w:rsidR="00910BEB" w:rsidRDefault="00910BEB">
      <w:pPr>
        <w:spacing w:after="0"/>
      </w:pPr>
      <w:r>
        <w:separator/>
      </w:r>
    </w:p>
  </w:footnote>
  <w:footnote w:type="continuationSeparator" w:id="0">
    <w:p w14:paraId="3C64AC1F" w14:textId="77777777" w:rsidR="00910BEB" w:rsidRDefault="00910B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D2956" w:rsidRPr="006A0FC7" w:rsidRDefault="000D295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D2956" w:rsidRPr="00BF30DA" w:rsidRDefault="000D2956"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06"/>
        </w:tabs>
        <w:ind w:left="21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5E672E"/>
    <w:multiLevelType w:val="hybridMultilevel"/>
    <w:tmpl w:val="15C6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832C20"/>
    <w:multiLevelType w:val="hybridMultilevel"/>
    <w:tmpl w:val="6254A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D47254"/>
    <w:multiLevelType w:val="hybridMultilevel"/>
    <w:tmpl w:val="C92C3C5E"/>
    <w:lvl w:ilvl="0" w:tplc="526C711C">
      <w:start w:val="1"/>
      <w:numFmt w:val="decimal"/>
      <w:lvlText w:val="Struct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113E9E"/>
    <w:multiLevelType w:val="singleLevel"/>
    <w:tmpl w:val="B4D4D9E8"/>
    <w:lvl w:ilvl="0">
      <w:start w:val="1"/>
      <w:numFmt w:val="decimal"/>
      <w:lvlText w:val="[%1]"/>
      <w:lvlJc w:val="left"/>
      <w:pPr>
        <w:tabs>
          <w:tab w:val="num" w:pos="360"/>
        </w:tabs>
        <w:ind w:left="360" w:hanging="360"/>
      </w:pPr>
    </w:lvl>
  </w:abstractNum>
  <w:abstractNum w:abstractNumId="6">
    <w:nsid w:val="2E0C36EF"/>
    <w:multiLevelType w:val="hybridMultilevel"/>
    <w:tmpl w:val="67603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2B2C6B"/>
    <w:multiLevelType w:val="hybridMultilevel"/>
    <w:tmpl w:val="793A31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F00301"/>
    <w:multiLevelType w:val="hybridMultilevel"/>
    <w:tmpl w:val="B90A4D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9908C4"/>
    <w:multiLevelType w:val="hybridMultilevel"/>
    <w:tmpl w:val="D63E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A110F5"/>
    <w:multiLevelType w:val="hybridMultilevel"/>
    <w:tmpl w:val="8D94C992"/>
    <w:lvl w:ilvl="0" w:tplc="70502BFA">
      <w:start w:val="1"/>
      <w:numFmt w:val="bullet"/>
      <w:lvlText w:val="•"/>
      <w:lvlJc w:val="left"/>
      <w:pPr>
        <w:tabs>
          <w:tab w:val="num" w:pos="720"/>
        </w:tabs>
        <w:ind w:left="720" w:hanging="360"/>
      </w:pPr>
      <w:rPr>
        <w:rFonts w:ascii="Arial" w:hAnsi="Arial" w:cs="Times New Roman" w:hint="default"/>
      </w:rPr>
    </w:lvl>
    <w:lvl w:ilvl="1" w:tplc="7A0CC1B0">
      <w:start w:val="2399"/>
      <w:numFmt w:val="bullet"/>
      <w:lvlText w:val="–"/>
      <w:lvlJc w:val="left"/>
      <w:pPr>
        <w:tabs>
          <w:tab w:val="num" w:pos="1440"/>
        </w:tabs>
        <w:ind w:left="1440" w:hanging="360"/>
      </w:pPr>
      <w:rPr>
        <w:rFonts w:ascii="Arial" w:hAnsi="Arial" w:cs="Times New Roman" w:hint="default"/>
      </w:rPr>
    </w:lvl>
    <w:lvl w:ilvl="2" w:tplc="09AEACDC">
      <w:start w:val="2399"/>
      <w:numFmt w:val="bullet"/>
      <w:lvlText w:val="•"/>
      <w:lvlJc w:val="left"/>
      <w:pPr>
        <w:tabs>
          <w:tab w:val="num" w:pos="2160"/>
        </w:tabs>
        <w:ind w:left="2160" w:hanging="360"/>
      </w:pPr>
      <w:rPr>
        <w:rFonts w:ascii="Arial" w:hAnsi="Arial" w:cs="Times New Roman" w:hint="default"/>
      </w:rPr>
    </w:lvl>
    <w:lvl w:ilvl="3" w:tplc="27A67C7C">
      <w:start w:val="1"/>
      <w:numFmt w:val="bullet"/>
      <w:lvlText w:val="•"/>
      <w:lvlJc w:val="left"/>
      <w:pPr>
        <w:tabs>
          <w:tab w:val="num" w:pos="2880"/>
        </w:tabs>
        <w:ind w:left="2880" w:hanging="360"/>
      </w:pPr>
      <w:rPr>
        <w:rFonts w:ascii="Arial" w:hAnsi="Arial" w:cs="Times New Roman" w:hint="default"/>
      </w:rPr>
    </w:lvl>
    <w:lvl w:ilvl="4" w:tplc="261AFB94">
      <w:start w:val="1"/>
      <w:numFmt w:val="bullet"/>
      <w:lvlText w:val="•"/>
      <w:lvlJc w:val="left"/>
      <w:pPr>
        <w:tabs>
          <w:tab w:val="num" w:pos="3600"/>
        </w:tabs>
        <w:ind w:left="3600" w:hanging="360"/>
      </w:pPr>
      <w:rPr>
        <w:rFonts w:ascii="Arial" w:hAnsi="Arial" w:cs="Times New Roman" w:hint="default"/>
      </w:rPr>
    </w:lvl>
    <w:lvl w:ilvl="5" w:tplc="1CD6C364">
      <w:start w:val="1"/>
      <w:numFmt w:val="bullet"/>
      <w:lvlText w:val="•"/>
      <w:lvlJc w:val="left"/>
      <w:pPr>
        <w:tabs>
          <w:tab w:val="num" w:pos="4320"/>
        </w:tabs>
        <w:ind w:left="4320" w:hanging="360"/>
      </w:pPr>
      <w:rPr>
        <w:rFonts w:ascii="Arial" w:hAnsi="Arial" w:cs="Times New Roman" w:hint="default"/>
      </w:rPr>
    </w:lvl>
    <w:lvl w:ilvl="6" w:tplc="55DE86A2">
      <w:start w:val="1"/>
      <w:numFmt w:val="bullet"/>
      <w:lvlText w:val="•"/>
      <w:lvlJc w:val="left"/>
      <w:pPr>
        <w:tabs>
          <w:tab w:val="num" w:pos="5040"/>
        </w:tabs>
        <w:ind w:left="5040" w:hanging="360"/>
      </w:pPr>
      <w:rPr>
        <w:rFonts w:ascii="Arial" w:hAnsi="Arial" w:cs="Times New Roman" w:hint="default"/>
      </w:rPr>
    </w:lvl>
    <w:lvl w:ilvl="7" w:tplc="6ED8B864">
      <w:start w:val="1"/>
      <w:numFmt w:val="bullet"/>
      <w:lvlText w:val="•"/>
      <w:lvlJc w:val="left"/>
      <w:pPr>
        <w:tabs>
          <w:tab w:val="num" w:pos="5760"/>
        </w:tabs>
        <w:ind w:left="5760" w:hanging="360"/>
      </w:pPr>
      <w:rPr>
        <w:rFonts w:ascii="Arial" w:hAnsi="Arial" w:cs="Times New Roman" w:hint="default"/>
      </w:rPr>
    </w:lvl>
    <w:lvl w:ilvl="8" w:tplc="4866CDFE">
      <w:start w:val="1"/>
      <w:numFmt w:val="bullet"/>
      <w:lvlText w:val="•"/>
      <w:lvlJc w:val="left"/>
      <w:pPr>
        <w:tabs>
          <w:tab w:val="num" w:pos="6480"/>
        </w:tabs>
        <w:ind w:left="6480" w:hanging="360"/>
      </w:pPr>
      <w:rPr>
        <w:rFonts w:ascii="Arial" w:hAnsi="Arial" w:cs="Times New Roman" w:hint="default"/>
      </w:rPr>
    </w:lvl>
  </w:abstractNum>
  <w:abstractNum w:abstractNumId="19">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abstractNum w:abstractNumId="22">
    <w:nsid w:val="7A241396"/>
    <w:multiLevelType w:val="hybridMultilevel"/>
    <w:tmpl w:val="362ED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1"/>
  </w:num>
  <w:num w:numId="5">
    <w:abstractNumId w:val="8"/>
  </w:num>
  <w:num w:numId="6">
    <w:abstractNumId w:val="12"/>
  </w:num>
  <w:num w:numId="7">
    <w:abstractNumId w:val="20"/>
  </w:num>
  <w:num w:numId="8">
    <w:abstractNumId w:val="9"/>
  </w:num>
  <w:num w:numId="9">
    <w:abstractNumId w:val="11"/>
  </w:num>
  <w:num w:numId="10">
    <w:abstractNumId w:val="10"/>
  </w:num>
  <w:num w:numId="11">
    <w:abstractNumId w:val="16"/>
  </w:num>
  <w:num w:numId="12">
    <w:abstractNumId w:val="14"/>
  </w:num>
  <w:num w:numId="13">
    <w:abstractNumId w:val="21"/>
  </w:num>
  <w:num w:numId="14">
    <w:abstractNumId w:val="13"/>
  </w:num>
  <w:num w:numId="15">
    <w:abstractNumId w:val="17"/>
  </w:num>
  <w:num w:numId="16">
    <w:abstractNumId w:val="2"/>
  </w:num>
  <w:num w:numId="17">
    <w:abstractNumId w:val="19"/>
  </w:num>
  <w:num w:numId="18">
    <w:abstractNumId w:val="15"/>
  </w:num>
  <w:num w:numId="19">
    <w:abstractNumId w:val="3"/>
  </w:num>
  <w:num w:numId="20">
    <w:abstractNumId w:val="4"/>
  </w:num>
  <w:num w:numId="21">
    <w:abstractNumId w:val="6"/>
  </w:num>
  <w:num w:numId="22">
    <w:abstractNumId w:val="18"/>
  </w:num>
  <w:num w:numId="23">
    <w:abstractNumId w:val="22"/>
  </w:num>
  <w:num w:numId="2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7DF"/>
    <w:rsid w:val="00005C0F"/>
    <w:rsid w:val="0000640E"/>
    <w:rsid w:val="000075E4"/>
    <w:rsid w:val="00007EEE"/>
    <w:rsid w:val="0001002B"/>
    <w:rsid w:val="00010AEE"/>
    <w:rsid w:val="00011A8E"/>
    <w:rsid w:val="000135DD"/>
    <w:rsid w:val="00013F4F"/>
    <w:rsid w:val="00014DAE"/>
    <w:rsid w:val="00017366"/>
    <w:rsid w:val="00017AF9"/>
    <w:rsid w:val="000237B9"/>
    <w:rsid w:val="00024429"/>
    <w:rsid w:val="0002572A"/>
    <w:rsid w:val="00027311"/>
    <w:rsid w:val="00027D60"/>
    <w:rsid w:val="00031103"/>
    <w:rsid w:val="00035879"/>
    <w:rsid w:val="00036AAB"/>
    <w:rsid w:val="00042044"/>
    <w:rsid w:val="00042761"/>
    <w:rsid w:val="00042A4F"/>
    <w:rsid w:val="000433C7"/>
    <w:rsid w:val="0004621B"/>
    <w:rsid w:val="0005061C"/>
    <w:rsid w:val="0005126B"/>
    <w:rsid w:val="000529B3"/>
    <w:rsid w:val="00052A90"/>
    <w:rsid w:val="000530D9"/>
    <w:rsid w:val="0005365D"/>
    <w:rsid w:val="0005434F"/>
    <w:rsid w:val="00055864"/>
    <w:rsid w:val="00055E6D"/>
    <w:rsid w:val="00055FB3"/>
    <w:rsid w:val="00057B28"/>
    <w:rsid w:val="00060362"/>
    <w:rsid w:val="00060CD9"/>
    <w:rsid w:val="00061919"/>
    <w:rsid w:val="00061B41"/>
    <w:rsid w:val="00064444"/>
    <w:rsid w:val="0006596D"/>
    <w:rsid w:val="000668DB"/>
    <w:rsid w:val="00067182"/>
    <w:rsid w:val="00067C1B"/>
    <w:rsid w:val="0007045A"/>
    <w:rsid w:val="00070D16"/>
    <w:rsid w:val="000718D9"/>
    <w:rsid w:val="000721FC"/>
    <w:rsid w:val="00072382"/>
    <w:rsid w:val="000724AD"/>
    <w:rsid w:val="0007275A"/>
    <w:rsid w:val="00073A24"/>
    <w:rsid w:val="00074D6C"/>
    <w:rsid w:val="00075668"/>
    <w:rsid w:val="00076E8C"/>
    <w:rsid w:val="000803A9"/>
    <w:rsid w:val="00080800"/>
    <w:rsid w:val="00081CA2"/>
    <w:rsid w:val="000832A0"/>
    <w:rsid w:val="000857F2"/>
    <w:rsid w:val="00087350"/>
    <w:rsid w:val="0008796B"/>
    <w:rsid w:val="00091A7F"/>
    <w:rsid w:val="00091F76"/>
    <w:rsid w:val="00093C23"/>
    <w:rsid w:val="00093FC2"/>
    <w:rsid w:val="00095772"/>
    <w:rsid w:val="000963AE"/>
    <w:rsid w:val="00096C16"/>
    <w:rsid w:val="00097F75"/>
    <w:rsid w:val="000A105F"/>
    <w:rsid w:val="000A207F"/>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6389"/>
    <w:rsid w:val="000E0248"/>
    <w:rsid w:val="000E114A"/>
    <w:rsid w:val="000E2254"/>
    <w:rsid w:val="000E2D68"/>
    <w:rsid w:val="000E2DED"/>
    <w:rsid w:val="000E34C8"/>
    <w:rsid w:val="000E3586"/>
    <w:rsid w:val="000E4E27"/>
    <w:rsid w:val="000E5660"/>
    <w:rsid w:val="000E63C3"/>
    <w:rsid w:val="000E669F"/>
    <w:rsid w:val="000E71AB"/>
    <w:rsid w:val="000E7C9C"/>
    <w:rsid w:val="000E7F68"/>
    <w:rsid w:val="000F0839"/>
    <w:rsid w:val="000F0AE3"/>
    <w:rsid w:val="000F0BFD"/>
    <w:rsid w:val="000F13BB"/>
    <w:rsid w:val="000F1847"/>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3B"/>
    <w:rsid w:val="00111F79"/>
    <w:rsid w:val="00114738"/>
    <w:rsid w:val="00114D8B"/>
    <w:rsid w:val="0011502D"/>
    <w:rsid w:val="0011558F"/>
    <w:rsid w:val="001168FA"/>
    <w:rsid w:val="001178F2"/>
    <w:rsid w:val="00120041"/>
    <w:rsid w:val="001203AA"/>
    <w:rsid w:val="00125368"/>
    <w:rsid w:val="001254C4"/>
    <w:rsid w:val="00126EAB"/>
    <w:rsid w:val="00127535"/>
    <w:rsid w:val="00130ED8"/>
    <w:rsid w:val="001311CC"/>
    <w:rsid w:val="0013241F"/>
    <w:rsid w:val="00132BF6"/>
    <w:rsid w:val="00134EFD"/>
    <w:rsid w:val="001354B2"/>
    <w:rsid w:val="00135EB8"/>
    <w:rsid w:val="00140C24"/>
    <w:rsid w:val="001421A8"/>
    <w:rsid w:val="00142231"/>
    <w:rsid w:val="00142630"/>
    <w:rsid w:val="00142768"/>
    <w:rsid w:val="00143951"/>
    <w:rsid w:val="0014605C"/>
    <w:rsid w:val="00146EC4"/>
    <w:rsid w:val="00147E0D"/>
    <w:rsid w:val="00151C32"/>
    <w:rsid w:val="00152595"/>
    <w:rsid w:val="001547A1"/>
    <w:rsid w:val="0015500D"/>
    <w:rsid w:val="00155B7A"/>
    <w:rsid w:val="001562B9"/>
    <w:rsid w:val="001570DC"/>
    <w:rsid w:val="00157573"/>
    <w:rsid w:val="00157601"/>
    <w:rsid w:val="0015771F"/>
    <w:rsid w:val="0016019B"/>
    <w:rsid w:val="00160AA0"/>
    <w:rsid w:val="00161281"/>
    <w:rsid w:val="00161EB7"/>
    <w:rsid w:val="0016285C"/>
    <w:rsid w:val="001636B7"/>
    <w:rsid w:val="00166DF7"/>
    <w:rsid w:val="00167432"/>
    <w:rsid w:val="00170486"/>
    <w:rsid w:val="0017094F"/>
    <w:rsid w:val="00172587"/>
    <w:rsid w:val="00172588"/>
    <w:rsid w:val="001726EA"/>
    <w:rsid w:val="0017281E"/>
    <w:rsid w:val="00172C51"/>
    <w:rsid w:val="001738F4"/>
    <w:rsid w:val="00174542"/>
    <w:rsid w:val="00174768"/>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4A90"/>
    <w:rsid w:val="00197701"/>
    <w:rsid w:val="001A0E97"/>
    <w:rsid w:val="001A3ADC"/>
    <w:rsid w:val="001A4A31"/>
    <w:rsid w:val="001A5F0B"/>
    <w:rsid w:val="001A7B67"/>
    <w:rsid w:val="001B0624"/>
    <w:rsid w:val="001B07BC"/>
    <w:rsid w:val="001B16EC"/>
    <w:rsid w:val="001B3005"/>
    <w:rsid w:val="001B32BE"/>
    <w:rsid w:val="001B5230"/>
    <w:rsid w:val="001B58B6"/>
    <w:rsid w:val="001B677A"/>
    <w:rsid w:val="001B7FBA"/>
    <w:rsid w:val="001C004F"/>
    <w:rsid w:val="001C1F12"/>
    <w:rsid w:val="001C34B5"/>
    <w:rsid w:val="001C3C0F"/>
    <w:rsid w:val="001C6000"/>
    <w:rsid w:val="001C68B2"/>
    <w:rsid w:val="001C7D09"/>
    <w:rsid w:val="001D06AC"/>
    <w:rsid w:val="001D07A5"/>
    <w:rsid w:val="001D0FC8"/>
    <w:rsid w:val="001D25A5"/>
    <w:rsid w:val="001D2D0F"/>
    <w:rsid w:val="001D2F18"/>
    <w:rsid w:val="001D35C5"/>
    <w:rsid w:val="001D5CD9"/>
    <w:rsid w:val="001D6714"/>
    <w:rsid w:val="001E0970"/>
    <w:rsid w:val="001E1C9C"/>
    <w:rsid w:val="001E213E"/>
    <w:rsid w:val="001E272E"/>
    <w:rsid w:val="001E582A"/>
    <w:rsid w:val="001E71E2"/>
    <w:rsid w:val="001E7AF7"/>
    <w:rsid w:val="001E7F0E"/>
    <w:rsid w:val="001F0A4A"/>
    <w:rsid w:val="001F0B79"/>
    <w:rsid w:val="001F0CE9"/>
    <w:rsid w:val="001F247D"/>
    <w:rsid w:val="001F3714"/>
    <w:rsid w:val="001F39B2"/>
    <w:rsid w:val="001F3F4B"/>
    <w:rsid w:val="001F4253"/>
    <w:rsid w:val="001F454A"/>
    <w:rsid w:val="001F5990"/>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523D"/>
    <w:rsid w:val="002177DE"/>
    <w:rsid w:val="002204EA"/>
    <w:rsid w:val="0022072E"/>
    <w:rsid w:val="00220E5C"/>
    <w:rsid w:val="00223950"/>
    <w:rsid w:val="00224545"/>
    <w:rsid w:val="00224F96"/>
    <w:rsid w:val="00225036"/>
    <w:rsid w:val="0022573F"/>
    <w:rsid w:val="00225A4C"/>
    <w:rsid w:val="00226321"/>
    <w:rsid w:val="00230E69"/>
    <w:rsid w:val="00232CFF"/>
    <w:rsid w:val="00234070"/>
    <w:rsid w:val="00234B6E"/>
    <w:rsid w:val="002351BF"/>
    <w:rsid w:val="00235772"/>
    <w:rsid w:val="00235B22"/>
    <w:rsid w:val="00235E4A"/>
    <w:rsid w:val="00235F52"/>
    <w:rsid w:val="00236C13"/>
    <w:rsid w:val="0023778C"/>
    <w:rsid w:val="00237F4E"/>
    <w:rsid w:val="002411F2"/>
    <w:rsid w:val="00244E12"/>
    <w:rsid w:val="00246460"/>
    <w:rsid w:val="0024698E"/>
    <w:rsid w:val="00247898"/>
    <w:rsid w:val="00250A4E"/>
    <w:rsid w:val="002531AA"/>
    <w:rsid w:val="002533A6"/>
    <w:rsid w:val="00253731"/>
    <w:rsid w:val="00253C39"/>
    <w:rsid w:val="00255DB5"/>
    <w:rsid w:val="00255DFB"/>
    <w:rsid w:val="00255FDD"/>
    <w:rsid w:val="00257498"/>
    <w:rsid w:val="002624F5"/>
    <w:rsid w:val="00263976"/>
    <w:rsid w:val="002639D7"/>
    <w:rsid w:val="00263ED3"/>
    <w:rsid w:val="00264921"/>
    <w:rsid w:val="00264BC8"/>
    <w:rsid w:val="00265439"/>
    <w:rsid w:val="00270264"/>
    <w:rsid w:val="0027285A"/>
    <w:rsid w:val="00272C9C"/>
    <w:rsid w:val="00273887"/>
    <w:rsid w:val="00273DC9"/>
    <w:rsid w:val="00281337"/>
    <w:rsid w:val="002818AC"/>
    <w:rsid w:val="00281BFA"/>
    <w:rsid w:val="00285772"/>
    <w:rsid w:val="002860F4"/>
    <w:rsid w:val="00287364"/>
    <w:rsid w:val="00287516"/>
    <w:rsid w:val="00287D33"/>
    <w:rsid w:val="00291AA4"/>
    <w:rsid w:val="00292A88"/>
    <w:rsid w:val="0029480F"/>
    <w:rsid w:val="002951FC"/>
    <w:rsid w:val="002971F7"/>
    <w:rsid w:val="002A039E"/>
    <w:rsid w:val="002A1CBA"/>
    <w:rsid w:val="002A4A3B"/>
    <w:rsid w:val="002A5A3A"/>
    <w:rsid w:val="002A5DC6"/>
    <w:rsid w:val="002A6373"/>
    <w:rsid w:val="002B07C7"/>
    <w:rsid w:val="002B0F80"/>
    <w:rsid w:val="002B1095"/>
    <w:rsid w:val="002B11BE"/>
    <w:rsid w:val="002B2C10"/>
    <w:rsid w:val="002B368A"/>
    <w:rsid w:val="002B3AE8"/>
    <w:rsid w:val="002B4366"/>
    <w:rsid w:val="002B44D8"/>
    <w:rsid w:val="002B47D6"/>
    <w:rsid w:val="002B4986"/>
    <w:rsid w:val="002B5026"/>
    <w:rsid w:val="002B56F8"/>
    <w:rsid w:val="002B783E"/>
    <w:rsid w:val="002B7978"/>
    <w:rsid w:val="002C1E40"/>
    <w:rsid w:val="002C3811"/>
    <w:rsid w:val="002C39D5"/>
    <w:rsid w:val="002C6DB8"/>
    <w:rsid w:val="002C741C"/>
    <w:rsid w:val="002D14F3"/>
    <w:rsid w:val="002D3252"/>
    <w:rsid w:val="002D43CF"/>
    <w:rsid w:val="002D4EAD"/>
    <w:rsid w:val="002D5B4C"/>
    <w:rsid w:val="002E04A3"/>
    <w:rsid w:val="002E499D"/>
    <w:rsid w:val="002F1262"/>
    <w:rsid w:val="002F397A"/>
    <w:rsid w:val="002F3FAE"/>
    <w:rsid w:val="002F4CA7"/>
    <w:rsid w:val="002F6BC2"/>
    <w:rsid w:val="002F6D13"/>
    <w:rsid w:val="002F756D"/>
    <w:rsid w:val="003000EB"/>
    <w:rsid w:val="003013DF"/>
    <w:rsid w:val="003037CD"/>
    <w:rsid w:val="0030654E"/>
    <w:rsid w:val="00306C5D"/>
    <w:rsid w:val="00307F52"/>
    <w:rsid w:val="0031167A"/>
    <w:rsid w:val="00311A62"/>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7656"/>
    <w:rsid w:val="00327A9B"/>
    <w:rsid w:val="003305C3"/>
    <w:rsid w:val="00331561"/>
    <w:rsid w:val="00332A8C"/>
    <w:rsid w:val="00332C78"/>
    <w:rsid w:val="003346C1"/>
    <w:rsid w:val="00335026"/>
    <w:rsid w:val="003379B0"/>
    <w:rsid w:val="0034043F"/>
    <w:rsid w:val="00340E5F"/>
    <w:rsid w:val="00341CEA"/>
    <w:rsid w:val="003448CE"/>
    <w:rsid w:val="003454B8"/>
    <w:rsid w:val="0034618D"/>
    <w:rsid w:val="0034674D"/>
    <w:rsid w:val="00347E2E"/>
    <w:rsid w:val="00351C0A"/>
    <w:rsid w:val="00351F34"/>
    <w:rsid w:val="00352334"/>
    <w:rsid w:val="003526DC"/>
    <w:rsid w:val="0035309F"/>
    <w:rsid w:val="00353DCF"/>
    <w:rsid w:val="003544C5"/>
    <w:rsid w:val="00355478"/>
    <w:rsid w:val="003558AF"/>
    <w:rsid w:val="00355DC7"/>
    <w:rsid w:val="003578EB"/>
    <w:rsid w:val="00357C52"/>
    <w:rsid w:val="00360CCF"/>
    <w:rsid w:val="0036159C"/>
    <w:rsid w:val="003625B9"/>
    <w:rsid w:val="00362B1B"/>
    <w:rsid w:val="00363049"/>
    <w:rsid w:val="00365D17"/>
    <w:rsid w:val="003664C3"/>
    <w:rsid w:val="00366F31"/>
    <w:rsid w:val="00367A0D"/>
    <w:rsid w:val="003706ED"/>
    <w:rsid w:val="00371E8A"/>
    <w:rsid w:val="00371EAE"/>
    <w:rsid w:val="0037332C"/>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90355"/>
    <w:rsid w:val="00390692"/>
    <w:rsid w:val="0039083F"/>
    <w:rsid w:val="00392CD9"/>
    <w:rsid w:val="003933FA"/>
    <w:rsid w:val="00393F4C"/>
    <w:rsid w:val="00394AA8"/>
    <w:rsid w:val="00397304"/>
    <w:rsid w:val="00397F45"/>
    <w:rsid w:val="003A04AE"/>
    <w:rsid w:val="003A0C22"/>
    <w:rsid w:val="003A0C84"/>
    <w:rsid w:val="003A35CF"/>
    <w:rsid w:val="003A6896"/>
    <w:rsid w:val="003A6A2E"/>
    <w:rsid w:val="003A7CE5"/>
    <w:rsid w:val="003B00A3"/>
    <w:rsid w:val="003B1438"/>
    <w:rsid w:val="003B153D"/>
    <w:rsid w:val="003B2869"/>
    <w:rsid w:val="003B2F31"/>
    <w:rsid w:val="003B2F84"/>
    <w:rsid w:val="003B3145"/>
    <w:rsid w:val="003B346C"/>
    <w:rsid w:val="003B44B7"/>
    <w:rsid w:val="003B5666"/>
    <w:rsid w:val="003B7801"/>
    <w:rsid w:val="003C3120"/>
    <w:rsid w:val="003C456B"/>
    <w:rsid w:val="003C4C8D"/>
    <w:rsid w:val="003C72EE"/>
    <w:rsid w:val="003C7E0D"/>
    <w:rsid w:val="003D15A1"/>
    <w:rsid w:val="003D24E7"/>
    <w:rsid w:val="003D273D"/>
    <w:rsid w:val="003D3068"/>
    <w:rsid w:val="003D37E4"/>
    <w:rsid w:val="003D3EEA"/>
    <w:rsid w:val="003D5C1A"/>
    <w:rsid w:val="003D7DDF"/>
    <w:rsid w:val="003E093D"/>
    <w:rsid w:val="003E1145"/>
    <w:rsid w:val="003E1657"/>
    <w:rsid w:val="003E2B02"/>
    <w:rsid w:val="003E3C3F"/>
    <w:rsid w:val="003E4112"/>
    <w:rsid w:val="003E48A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4E8A"/>
    <w:rsid w:val="003F5102"/>
    <w:rsid w:val="003F614C"/>
    <w:rsid w:val="003F6C3A"/>
    <w:rsid w:val="003F701E"/>
    <w:rsid w:val="003F7140"/>
    <w:rsid w:val="003F7E57"/>
    <w:rsid w:val="00400026"/>
    <w:rsid w:val="004024A4"/>
    <w:rsid w:val="0040262E"/>
    <w:rsid w:val="0040291E"/>
    <w:rsid w:val="004035A7"/>
    <w:rsid w:val="00405F52"/>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4528"/>
    <w:rsid w:val="004373A6"/>
    <w:rsid w:val="004375FE"/>
    <w:rsid w:val="00437604"/>
    <w:rsid w:val="00437704"/>
    <w:rsid w:val="00440089"/>
    <w:rsid w:val="00440F45"/>
    <w:rsid w:val="004414AC"/>
    <w:rsid w:val="00441B76"/>
    <w:rsid w:val="00442F8C"/>
    <w:rsid w:val="00443BBF"/>
    <w:rsid w:val="00444B94"/>
    <w:rsid w:val="004461A3"/>
    <w:rsid w:val="00447F5B"/>
    <w:rsid w:val="0045072F"/>
    <w:rsid w:val="00450C58"/>
    <w:rsid w:val="0045113A"/>
    <w:rsid w:val="004522B2"/>
    <w:rsid w:val="004526D4"/>
    <w:rsid w:val="00453445"/>
    <w:rsid w:val="004559A1"/>
    <w:rsid w:val="00456CBD"/>
    <w:rsid w:val="00456F20"/>
    <w:rsid w:val="0045766E"/>
    <w:rsid w:val="004576AA"/>
    <w:rsid w:val="00457BBD"/>
    <w:rsid w:val="00457C55"/>
    <w:rsid w:val="00461015"/>
    <w:rsid w:val="00461F41"/>
    <w:rsid w:val="00462325"/>
    <w:rsid w:val="004626F7"/>
    <w:rsid w:val="00462753"/>
    <w:rsid w:val="00464786"/>
    <w:rsid w:val="00464A7E"/>
    <w:rsid w:val="00465078"/>
    <w:rsid w:val="0046507A"/>
    <w:rsid w:val="00466096"/>
    <w:rsid w:val="0047045F"/>
    <w:rsid w:val="00470CE1"/>
    <w:rsid w:val="00472397"/>
    <w:rsid w:val="0047268E"/>
    <w:rsid w:val="004731EA"/>
    <w:rsid w:val="004743C0"/>
    <w:rsid w:val="004745C5"/>
    <w:rsid w:val="00474666"/>
    <w:rsid w:val="00475C71"/>
    <w:rsid w:val="00476D85"/>
    <w:rsid w:val="004774D9"/>
    <w:rsid w:val="004779A9"/>
    <w:rsid w:val="0048083A"/>
    <w:rsid w:val="004857BA"/>
    <w:rsid w:val="00485FE7"/>
    <w:rsid w:val="00486CE0"/>
    <w:rsid w:val="00486F40"/>
    <w:rsid w:val="00490EB5"/>
    <w:rsid w:val="00491B56"/>
    <w:rsid w:val="004A0B27"/>
    <w:rsid w:val="004A0C80"/>
    <w:rsid w:val="004A0D5B"/>
    <w:rsid w:val="004A2D23"/>
    <w:rsid w:val="004A305F"/>
    <w:rsid w:val="004A37FB"/>
    <w:rsid w:val="004A3957"/>
    <w:rsid w:val="004A51E8"/>
    <w:rsid w:val="004A608F"/>
    <w:rsid w:val="004A7311"/>
    <w:rsid w:val="004A74BA"/>
    <w:rsid w:val="004B067D"/>
    <w:rsid w:val="004B131E"/>
    <w:rsid w:val="004B4AC8"/>
    <w:rsid w:val="004C1326"/>
    <w:rsid w:val="004C1417"/>
    <w:rsid w:val="004C18ED"/>
    <w:rsid w:val="004C3AC1"/>
    <w:rsid w:val="004C4A6D"/>
    <w:rsid w:val="004C4BDC"/>
    <w:rsid w:val="004C519C"/>
    <w:rsid w:val="004C51B7"/>
    <w:rsid w:val="004C6AA3"/>
    <w:rsid w:val="004C7281"/>
    <w:rsid w:val="004D21D7"/>
    <w:rsid w:val="004D4135"/>
    <w:rsid w:val="004D7226"/>
    <w:rsid w:val="004D7469"/>
    <w:rsid w:val="004E0AE5"/>
    <w:rsid w:val="004E0DDC"/>
    <w:rsid w:val="004E181A"/>
    <w:rsid w:val="004E2FC3"/>
    <w:rsid w:val="004E33AA"/>
    <w:rsid w:val="004E3C80"/>
    <w:rsid w:val="004E72A1"/>
    <w:rsid w:val="004F118D"/>
    <w:rsid w:val="004F3C24"/>
    <w:rsid w:val="004F434A"/>
    <w:rsid w:val="004F4C94"/>
    <w:rsid w:val="004F51CB"/>
    <w:rsid w:val="004F5E5F"/>
    <w:rsid w:val="004F712D"/>
    <w:rsid w:val="004F756F"/>
    <w:rsid w:val="005001A3"/>
    <w:rsid w:val="005007BF"/>
    <w:rsid w:val="005029B2"/>
    <w:rsid w:val="005036DA"/>
    <w:rsid w:val="00503BE3"/>
    <w:rsid w:val="005042F3"/>
    <w:rsid w:val="005052C9"/>
    <w:rsid w:val="00505420"/>
    <w:rsid w:val="00505E1C"/>
    <w:rsid w:val="00506961"/>
    <w:rsid w:val="00511F61"/>
    <w:rsid w:val="005121D8"/>
    <w:rsid w:val="0051496C"/>
    <w:rsid w:val="00514B79"/>
    <w:rsid w:val="00514DF2"/>
    <w:rsid w:val="00514FDA"/>
    <w:rsid w:val="00516EB5"/>
    <w:rsid w:val="005175E0"/>
    <w:rsid w:val="00520546"/>
    <w:rsid w:val="00520743"/>
    <w:rsid w:val="00520FEA"/>
    <w:rsid w:val="00521C79"/>
    <w:rsid w:val="00522479"/>
    <w:rsid w:val="00522658"/>
    <w:rsid w:val="00523338"/>
    <w:rsid w:val="0052438A"/>
    <w:rsid w:val="00525201"/>
    <w:rsid w:val="005256AF"/>
    <w:rsid w:val="005260AD"/>
    <w:rsid w:val="00526E67"/>
    <w:rsid w:val="005276E5"/>
    <w:rsid w:val="00527F9E"/>
    <w:rsid w:val="00530CE6"/>
    <w:rsid w:val="00531E00"/>
    <w:rsid w:val="00532C41"/>
    <w:rsid w:val="00533201"/>
    <w:rsid w:val="005346F1"/>
    <w:rsid w:val="00534B00"/>
    <w:rsid w:val="005354C4"/>
    <w:rsid w:val="005374AC"/>
    <w:rsid w:val="0053773A"/>
    <w:rsid w:val="005377F6"/>
    <w:rsid w:val="0054190F"/>
    <w:rsid w:val="00541C4C"/>
    <w:rsid w:val="00543232"/>
    <w:rsid w:val="00543F98"/>
    <w:rsid w:val="0054763B"/>
    <w:rsid w:val="00551F8F"/>
    <w:rsid w:val="00552309"/>
    <w:rsid w:val="0055496A"/>
    <w:rsid w:val="00554EA5"/>
    <w:rsid w:val="005560B2"/>
    <w:rsid w:val="00557491"/>
    <w:rsid w:val="0055777F"/>
    <w:rsid w:val="005579F6"/>
    <w:rsid w:val="00560250"/>
    <w:rsid w:val="0056106B"/>
    <w:rsid w:val="005613B5"/>
    <w:rsid w:val="00566C01"/>
    <w:rsid w:val="00567A42"/>
    <w:rsid w:val="00570767"/>
    <w:rsid w:val="005708A8"/>
    <w:rsid w:val="0057107B"/>
    <w:rsid w:val="0057152E"/>
    <w:rsid w:val="005727A3"/>
    <w:rsid w:val="00573F6F"/>
    <w:rsid w:val="005753F0"/>
    <w:rsid w:val="00580B24"/>
    <w:rsid w:val="005815B3"/>
    <w:rsid w:val="00581643"/>
    <w:rsid w:val="00582D4B"/>
    <w:rsid w:val="00584403"/>
    <w:rsid w:val="005849A7"/>
    <w:rsid w:val="00585266"/>
    <w:rsid w:val="005865BB"/>
    <w:rsid w:val="00586A0F"/>
    <w:rsid w:val="005902D9"/>
    <w:rsid w:val="00591229"/>
    <w:rsid w:val="005939CA"/>
    <w:rsid w:val="005946BE"/>
    <w:rsid w:val="00594E36"/>
    <w:rsid w:val="00595B34"/>
    <w:rsid w:val="00595EA5"/>
    <w:rsid w:val="005969F9"/>
    <w:rsid w:val="00596E2F"/>
    <w:rsid w:val="00596F14"/>
    <w:rsid w:val="00597F88"/>
    <w:rsid w:val="005A0A6F"/>
    <w:rsid w:val="005A28E5"/>
    <w:rsid w:val="005A4773"/>
    <w:rsid w:val="005A4EAA"/>
    <w:rsid w:val="005A532D"/>
    <w:rsid w:val="005A53DB"/>
    <w:rsid w:val="005A6E8F"/>
    <w:rsid w:val="005A7BD4"/>
    <w:rsid w:val="005B0BBC"/>
    <w:rsid w:val="005B0BF3"/>
    <w:rsid w:val="005B14FF"/>
    <w:rsid w:val="005B1CD7"/>
    <w:rsid w:val="005B289F"/>
    <w:rsid w:val="005B2DC1"/>
    <w:rsid w:val="005B3355"/>
    <w:rsid w:val="005B34D4"/>
    <w:rsid w:val="005B5DFA"/>
    <w:rsid w:val="005C0A7E"/>
    <w:rsid w:val="005C440F"/>
    <w:rsid w:val="005C52BF"/>
    <w:rsid w:val="005C5476"/>
    <w:rsid w:val="005C641A"/>
    <w:rsid w:val="005C750B"/>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F03D4"/>
    <w:rsid w:val="005F2532"/>
    <w:rsid w:val="005F3967"/>
    <w:rsid w:val="005F3A8D"/>
    <w:rsid w:val="005F400D"/>
    <w:rsid w:val="005F5031"/>
    <w:rsid w:val="005F603E"/>
    <w:rsid w:val="005F62B1"/>
    <w:rsid w:val="005F7C43"/>
    <w:rsid w:val="0060058D"/>
    <w:rsid w:val="006005FD"/>
    <w:rsid w:val="00600FE0"/>
    <w:rsid w:val="00602457"/>
    <w:rsid w:val="0060264B"/>
    <w:rsid w:val="00602F6E"/>
    <w:rsid w:val="0060550A"/>
    <w:rsid w:val="0061342F"/>
    <w:rsid w:val="00613D7E"/>
    <w:rsid w:val="0061407C"/>
    <w:rsid w:val="006147C9"/>
    <w:rsid w:val="00615A64"/>
    <w:rsid w:val="00615AE4"/>
    <w:rsid w:val="006170D2"/>
    <w:rsid w:val="0062197D"/>
    <w:rsid w:val="00621A6E"/>
    <w:rsid w:val="00622075"/>
    <w:rsid w:val="00623176"/>
    <w:rsid w:val="006231CB"/>
    <w:rsid w:val="0062374F"/>
    <w:rsid w:val="00624196"/>
    <w:rsid w:val="00625078"/>
    <w:rsid w:val="0062509D"/>
    <w:rsid w:val="0062533B"/>
    <w:rsid w:val="00625EF2"/>
    <w:rsid w:val="00625F80"/>
    <w:rsid w:val="00627996"/>
    <w:rsid w:val="00631256"/>
    <w:rsid w:val="00631F2F"/>
    <w:rsid w:val="006326F1"/>
    <w:rsid w:val="0063438C"/>
    <w:rsid w:val="00637A2C"/>
    <w:rsid w:val="00637BFA"/>
    <w:rsid w:val="00637CDC"/>
    <w:rsid w:val="00642468"/>
    <w:rsid w:val="00642959"/>
    <w:rsid w:val="00645AAE"/>
    <w:rsid w:val="00645F42"/>
    <w:rsid w:val="00647610"/>
    <w:rsid w:val="00650BB8"/>
    <w:rsid w:val="006511DB"/>
    <w:rsid w:val="00652482"/>
    <w:rsid w:val="00652686"/>
    <w:rsid w:val="0065320B"/>
    <w:rsid w:val="006537C9"/>
    <w:rsid w:val="006564F5"/>
    <w:rsid w:val="00656CEB"/>
    <w:rsid w:val="006572DB"/>
    <w:rsid w:val="00657589"/>
    <w:rsid w:val="00657B8A"/>
    <w:rsid w:val="00660027"/>
    <w:rsid w:val="00662906"/>
    <w:rsid w:val="006644C6"/>
    <w:rsid w:val="006646E2"/>
    <w:rsid w:val="00666E97"/>
    <w:rsid w:val="00673A7D"/>
    <w:rsid w:val="00674442"/>
    <w:rsid w:val="00674638"/>
    <w:rsid w:val="00674ACF"/>
    <w:rsid w:val="00675D3A"/>
    <w:rsid w:val="00676297"/>
    <w:rsid w:val="0067637D"/>
    <w:rsid w:val="00683F57"/>
    <w:rsid w:val="006843DD"/>
    <w:rsid w:val="006863BF"/>
    <w:rsid w:val="006879C9"/>
    <w:rsid w:val="00687B18"/>
    <w:rsid w:val="0069139A"/>
    <w:rsid w:val="00691D59"/>
    <w:rsid w:val="00693300"/>
    <w:rsid w:val="006954BA"/>
    <w:rsid w:val="00697064"/>
    <w:rsid w:val="0069744E"/>
    <w:rsid w:val="006A01D7"/>
    <w:rsid w:val="006A0D1F"/>
    <w:rsid w:val="006A0FC7"/>
    <w:rsid w:val="006A1CDE"/>
    <w:rsid w:val="006A1CF1"/>
    <w:rsid w:val="006A1F5B"/>
    <w:rsid w:val="006A2F4C"/>
    <w:rsid w:val="006A437D"/>
    <w:rsid w:val="006A6565"/>
    <w:rsid w:val="006A72D1"/>
    <w:rsid w:val="006A7ABF"/>
    <w:rsid w:val="006B0265"/>
    <w:rsid w:val="006B2525"/>
    <w:rsid w:val="006B3B81"/>
    <w:rsid w:val="006B3F63"/>
    <w:rsid w:val="006B4CD6"/>
    <w:rsid w:val="006B5051"/>
    <w:rsid w:val="006B589F"/>
    <w:rsid w:val="006B5B75"/>
    <w:rsid w:val="006B5CA4"/>
    <w:rsid w:val="006B6916"/>
    <w:rsid w:val="006B7C09"/>
    <w:rsid w:val="006C03D6"/>
    <w:rsid w:val="006C0829"/>
    <w:rsid w:val="006C13C2"/>
    <w:rsid w:val="006C3505"/>
    <w:rsid w:val="006C4961"/>
    <w:rsid w:val="006C5DC3"/>
    <w:rsid w:val="006C66E6"/>
    <w:rsid w:val="006C67B9"/>
    <w:rsid w:val="006C7316"/>
    <w:rsid w:val="006C733A"/>
    <w:rsid w:val="006D203B"/>
    <w:rsid w:val="006D2304"/>
    <w:rsid w:val="006D2A6D"/>
    <w:rsid w:val="006D2CBF"/>
    <w:rsid w:val="006D4BC8"/>
    <w:rsid w:val="006D4FC7"/>
    <w:rsid w:val="006D64FA"/>
    <w:rsid w:val="006D6865"/>
    <w:rsid w:val="006D70FF"/>
    <w:rsid w:val="006D76CD"/>
    <w:rsid w:val="006E1680"/>
    <w:rsid w:val="006E1967"/>
    <w:rsid w:val="006E321C"/>
    <w:rsid w:val="006E32CE"/>
    <w:rsid w:val="006E4216"/>
    <w:rsid w:val="006F1C29"/>
    <w:rsid w:val="006F289B"/>
    <w:rsid w:val="006F2C3A"/>
    <w:rsid w:val="006F3289"/>
    <w:rsid w:val="006F384E"/>
    <w:rsid w:val="006F3D21"/>
    <w:rsid w:val="006F3DD4"/>
    <w:rsid w:val="006F4F4E"/>
    <w:rsid w:val="006F61BE"/>
    <w:rsid w:val="006F678D"/>
    <w:rsid w:val="006F6B2B"/>
    <w:rsid w:val="007005D7"/>
    <w:rsid w:val="007009BE"/>
    <w:rsid w:val="0070108F"/>
    <w:rsid w:val="007021B6"/>
    <w:rsid w:val="00702264"/>
    <w:rsid w:val="0070296D"/>
    <w:rsid w:val="007042AA"/>
    <w:rsid w:val="007058B7"/>
    <w:rsid w:val="00706DFC"/>
    <w:rsid w:val="0070745E"/>
    <w:rsid w:val="007116FE"/>
    <w:rsid w:val="00712912"/>
    <w:rsid w:val="00713109"/>
    <w:rsid w:val="00713C99"/>
    <w:rsid w:val="00715EF6"/>
    <w:rsid w:val="0071670B"/>
    <w:rsid w:val="00721B29"/>
    <w:rsid w:val="00721E7C"/>
    <w:rsid w:val="00725EF5"/>
    <w:rsid w:val="00726BE5"/>
    <w:rsid w:val="007278A9"/>
    <w:rsid w:val="00730008"/>
    <w:rsid w:val="007345DF"/>
    <w:rsid w:val="0073488B"/>
    <w:rsid w:val="00736CC6"/>
    <w:rsid w:val="00736D17"/>
    <w:rsid w:val="007377E2"/>
    <w:rsid w:val="00740405"/>
    <w:rsid w:val="007408F5"/>
    <w:rsid w:val="00740EA2"/>
    <w:rsid w:val="00741459"/>
    <w:rsid w:val="00741A88"/>
    <w:rsid w:val="00741BB0"/>
    <w:rsid w:val="00743188"/>
    <w:rsid w:val="007433CD"/>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6B8"/>
    <w:rsid w:val="00761706"/>
    <w:rsid w:val="007626D3"/>
    <w:rsid w:val="00763114"/>
    <w:rsid w:val="0076599A"/>
    <w:rsid w:val="00765FF7"/>
    <w:rsid w:val="00766775"/>
    <w:rsid w:val="00767578"/>
    <w:rsid w:val="00771903"/>
    <w:rsid w:val="00771E29"/>
    <w:rsid w:val="00774294"/>
    <w:rsid w:val="00774B87"/>
    <w:rsid w:val="00774DC0"/>
    <w:rsid w:val="00774EE4"/>
    <w:rsid w:val="00774FB0"/>
    <w:rsid w:val="00775B33"/>
    <w:rsid w:val="00782C8A"/>
    <w:rsid w:val="007844BE"/>
    <w:rsid w:val="00787B8A"/>
    <w:rsid w:val="0079102B"/>
    <w:rsid w:val="00792345"/>
    <w:rsid w:val="00794512"/>
    <w:rsid w:val="00794A0D"/>
    <w:rsid w:val="00794DF0"/>
    <w:rsid w:val="007A0156"/>
    <w:rsid w:val="007A1EDC"/>
    <w:rsid w:val="007A2B08"/>
    <w:rsid w:val="007A31EB"/>
    <w:rsid w:val="007A3826"/>
    <w:rsid w:val="007A4758"/>
    <w:rsid w:val="007A5FB3"/>
    <w:rsid w:val="007A6FDA"/>
    <w:rsid w:val="007B079D"/>
    <w:rsid w:val="007B557C"/>
    <w:rsid w:val="007B7D73"/>
    <w:rsid w:val="007C0474"/>
    <w:rsid w:val="007C0818"/>
    <w:rsid w:val="007C1416"/>
    <w:rsid w:val="007C14E9"/>
    <w:rsid w:val="007C16DF"/>
    <w:rsid w:val="007C1DA9"/>
    <w:rsid w:val="007C2937"/>
    <w:rsid w:val="007C4603"/>
    <w:rsid w:val="007C4D1A"/>
    <w:rsid w:val="007D01E5"/>
    <w:rsid w:val="007D09BB"/>
    <w:rsid w:val="007D0DD5"/>
    <w:rsid w:val="007D19C6"/>
    <w:rsid w:val="007D4559"/>
    <w:rsid w:val="007D549A"/>
    <w:rsid w:val="007D649A"/>
    <w:rsid w:val="007D7C3E"/>
    <w:rsid w:val="007E027B"/>
    <w:rsid w:val="007E0E28"/>
    <w:rsid w:val="007E174F"/>
    <w:rsid w:val="007E18CE"/>
    <w:rsid w:val="007E1AAB"/>
    <w:rsid w:val="007E2208"/>
    <w:rsid w:val="007E23D9"/>
    <w:rsid w:val="007E4849"/>
    <w:rsid w:val="007E7D3F"/>
    <w:rsid w:val="007F162A"/>
    <w:rsid w:val="007F1C84"/>
    <w:rsid w:val="007F36C8"/>
    <w:rsid w:val="007F3A50"/>
    <w:rsid w:val="007F4772"/>
    <w:rsid w:val="007F63DD"/>
    <w:rsid w:val="007F79BF"/>
    <w:rsid w:val="007F7A85"/>
    <w:rsid w:val="00800105"/>
    <w:rsid w:val="00800251"/>
    <w:rsid w:val="0080038C"/>
    <w:rsid w:val="0080210E"/>
    <w:rsid w:val="00802872"/>
    <w:rsid w:val="00803D62"/>
    <w:rsid w:val="008042BD"/>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F1E"/>
    <w:rsid w:val="008345AE"/>
    <w:rsid w:val="00834C61"/>
    <w:rsid w:val="0083685F"/>
    <w:rsid w:val="00837339"/>
    <w:rsid w:val="0083744D"/>
    <w:rsid w:val="0084188F"/>
    <w:rsid w:val="00841D94"/>
    <w:rsid w:val="00844A23"/>
    <w:rsid w:val="00845A36"/>
    <w:rsid w:val="00847AA7"/>
    <w:rsid w:val="008517E1"/>
    <w:rsid w:val="00851BCB"/>
    <w:rsid w:val="00855EEF"/>
    <w:rsid w:val="00857659"/>
    <w:rsid w:val="00860504"/>
    <w:rsid w:val="00862056"/>
    <w:rsid w:val="0086241A"/>
    <w:rsid w:val="0086315C"/>
    <w:rsid w:val="00863ADD"/>
    <w:rsid w:val="008647B5"/>
    <w:rsid w:val="00864CBC"/>
    <w:rsid w:val="00865B3F"/>
    <w:rsid w:val="008661B5"/>
    <w:rsid w:val="0086661F"/>
    <w:rsid w:val="0086694B"/>
    <w:rsid w:val="00867A19"/>
    <w:rsid w:val="00867D81"/>
    <w:rsid w:val="0087092A"/>
    <w:rsid w:val="0087150A"/>
    <w:rsid w:val="00871B4D"/>
    <w:rsid w:val="00871CDC"/>
    <w:rsid w:val="0087211E"/>
    <w:rsid w:val="008741BC"/>
    <w:rsid w:val="00874A56"/>
    <w:rsid w:val="00875CF8"/>
    <w:rsid w:val="00877459"/>
    <w:rsid w:val="00880D53"/>
    <w:rsid w:val="008814B9"/>
    <w:rsid w:val="0088393A"/>
    <w:rsid w:val="00885946"/>
    <w:rsid w:val="00885C46"/>
    <w:rsid w:val="00890DA4"/>
    <w:rsid w:val="00891378"/>
    <w:rsid w:val="00891871"/>
    <w:rsid w:val="00892F8A"/>
    <w:rsid w:val="00893DE6"/>
    <w:rsid w:val="0089426E"/>
    <w:rsid w:val="008948D4"/>
    <w:rsid w:val="00895096"/>
    <w:rsid w:val="008955E2"/>
    <w:rsid w:val="00896EA4"/>
    <w:rsid w:val="00897546"/>
    <w:rsid w:val="008A002B"/>
    <w:rsid w:val="008A1FB3"/>
    <w:rsid w:val="008A255F"/>
    <w:rsid w:val="008A2B76"/>
    <w:rsid w:val="008A2BF1"/>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86A"/>
    <w:rsid w:val="008D5AC1"/>
    <w:rsid w:val="008D6151"/>
    <w:rsid w:val="008D77EC"/>
    <w:rsid w:val="008D77F8"/>
    <w:rsid w:val="008E0A23"/>
    <w:rsid w:val="008E10A0"/>
    <w:rsid w:val="008E1BEB"/>
    <w:rsid w:val="008E1DE7"/>
    <w:rsid w:val="008E3D20"/>
    <w:rsid w:val="008E4174"/>
    <w:rsid w:val="008E45C0"/>
    <w:rsid w:val="008E517D"/>
    <w:rsid w:val="008E6DF6"/>
    <w:rsid w:val="008E7E06"/>
    <w:rsid w:val="008F0C24"/>
    <w:rsid w:val="008F0DB6"/>
    <w:rsid w:val="008F132A"/>
    <w:rsid w:val="008F2129"/>
    <w:rsid w:val="008F2281"/>
    <w:rsid w:val="008F24FD"/>
    <w:rsid w:val="0090068E"/>
    <w:rsid w:val="00900A45"/>
    <w:rsid w:val="00900D2C"/>
    <w:rsid w:val="009030AC"/>
    <w:rsid w:val="009059FB"/>
    <w:rsid w:val="009060D6"/>
    <w:rsid w:val="00906F95"/>
    <w:rsid w:val="009104EE"/>
    <w:rsid w:val="00910677"/>
    <w:rsid w:val="00910BEB"/>
    <w:rsid w:val="0091129F"/>
    <w:rsid w:val="009113B9"/>
    <w:rsid w:val="00912103"/>
    <w:rsid w:val="00912C1C"/>
    <w:rsid w:val="009145C7"/>
    <w:rsid w:val="00916232"/>
    <w:rsid w:val="00916CDA"/>
    <w:rsid w:val="00917064"/>
    <w:rsid w:val="00917B0B"/>
    <w:rsid w:val="0092098B"/>
    <w:rsid w:val="00920C7B"/>
    <w:rsid w:val="0092177D"/>
    <w:rsid w:val="00921AB6"/>
    <w:rsid w:val="00922321"/>
    <w:rsid w:val="009224A1"/>
    <w:rsid w:val="0092263C"/>
    <w:rsid w:val="00922FBB"/>
    <w:rsid w:val="009235D6"/>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1D3A"/>
    <w:rsid w:val="00942712"/>
    <w:rsid w:val="0094520F"/>
    <w:rsid w:val="009458DE"/>
    <w:rsid w:val="00945A79"/>
    <w:rsid w:val="009507B6"/>
    <w:rsid w:val="00950EF8"/>
    <w:rsid w:val="00951444"/>
    <w:rsid w:val="00952014"/>
    <w:rsid w:val="0095743E"/>
    <w:rsid w:val="00957E56"/>
    <w:rsid w:val="009623A6"/>
    <w:rsid w:val="00963176"/>
    <w:rsid w:val="00963D1F"/>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630E"/>
    <w:rsid w:val="00986A5E"/>
    <w:rsid w:val="00990218"/>
    <w:rsid w:val="00990549"/>
    <w:rsid w:val="009927B8"/>
    <w:rsid w:val="00993B07"/>
    <w:rsid w:val="009948E1"/>
    <w:rsid w:val="00994C26"/>
    <w:rsid w:val="009968EE"/>
    <w:rsid w:val="00996B1C"/>
    <w:rsid w:val="009977AB"/>
    <w:rsid w:val="009A0482"/>
    <w:rsid w:val="009A06C4"/>
    <w:rsid w:val="009A2D13"/>
    <w:rsid w:val="009A33D8"/>
    <w:rsid w:val="009A34B1"/>
    <w:rsid w:val="009A353A"/>
    <w:rsid w:val="009A4878"/>
    <w:rsid w:val="009A59C4"/>
    <w:rsid w:val="009A77F4"/>
    <w:rsid w:val="009B0C9B"/>
    <w:rsid w:val="009B0F58"/>
    <w:rsid w:val="009B24A2"/>
    <w:rsid w:val="009B3549"/>
    <w:rsid w:val="009B3C67"/>
    <w:rsid w:val="009B3CA7"/>
    <w:rsid w:val="009B41B2"/>
    <w:rsid w:val="009B55AA"/>
    <w:rsid w:val="009B5FBE"/>
    <w:rsid w:val="009B72B5"/>
    <w:rsid w:val="009B777D"/>
    <w:rsid w:val="009B7EF6"/>
    <w:rsid w:val="009C259F"/>
    <w:rsid w:val="009C3141"/>
    <w:rsid w:val="009C32E6"/>
    <w:rsid w:val="009C3448"/>
    <w:rsid w:val="009C38EB"/>
    <w:rsid w:val="009C423A"/>
    <w:rsid w:val="009C4EC3"/>
    <w:rsid w:val="009C515F"/>
    <w:rsid w:val="009C6D7D"/>
    <w:rsid w:val="009C7248"/>
    <w:rsid w:val="009D189D"/>
    <w:rsid w:val="009D31F2"/>
    <w:rsid w:val="009D563B"/>
    <w:rsid w:val="009D79FE"/>
    <w:rsid w:val="009D7D8D"/>
    <w:rsid w:val="009E04DD"/>
    <w:rsid w:val="009E0797"/>
    <w:rsid w:val="009E30ED"/>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F23"/>
    <w:rsid w:val="00A26141"/>
    <w:rsid w:val="00A26CD8"/>
    <w:rsid w:val="00A31FEE"/>
    <w:rsid w:val="00A32194"/>
    <w:rsid w:val="00A321DD"/>
    <w:rsid w:val="00A32665"/>
    <w:rsid w:val="00A330AB"/>
    <w:rsid w:val="00A334AB"/>
    <w:rsid w:val="00A33CF4"/>
    <w:rsid w:val="00A34F6C"/>
    <w:rsid w:val="00A37803"/>
    <w:rsid w:val="00A37976"/>
    <w:rsid w:val="00A40107"/>
    <w:rsid w:val="00A42B2E"/>
    <w:rsid w:val="00A430A8"/>
    <w:rsid w:val="00A43965"/>
    <w:rsid w:val="00A43A8F"/>
    <w:rsid w:val="00A43B37"/>
    <w:rsid w:val="00A4515C"/>
    <w:rsid w:val="00A452C8"/>
    <w:rsid w:val="00A46AF1"/>
    <w:rsid w:val="00A47C68"/>
    <w:rsid w:val="00A47EA0"/>
    <w:rsid w:val="00A505FF"/>
    <w:rsid w:val="00A5294F"/>
    <w:rsid w:val="00A53F48"/>
    <w:rsid w:val="00A543F4"/>
    <w:rsid w:val="00A546B8"/>
    <w:rsid w:val="00A54972"/>
    <w:rsid w:val="00A54DEC"/>
    <w:rsid w:val="00A5544B"/>
    <w:rsid w:val="00A55ECB"/>
    <w:rsid w:val="00A579F8"/>
    <w:rsid w:val="00A57B57"/>
    <w:rsid w:val="00A60353"/>
    <w:rsid w:val="00A619D8"/>
    <w:rsid w:val="00A6251F"/>
    <w:rsid w:val="00A62C43"/>
    <w:rsid w:val="00A653F3"/>
    <w:rsid w:val="00A66CEE"/>
    <w:rsid w:val="00A675B4"/>
    <w:rsid w:val="00A67E15"/>
    <w:rsid w:val="00A7073E"/>
    <w:rsid w:val="00A70C5E"/>
    <w:rsid w:val="00A7225A"/>
    <w:rsid w:val="00A72D1F"/>
    <w:rsid w:val="00A779CA"/>
    <w:rsid w:val="00A813C4"/>
    <w:rsid w:val="00A82521"/>
    <w:rsid w:val="00A82ABE"/>
    <w:rsid w:val="00A86F59"/>
    <w:rsid w:val="00A871A3"/>
    <w:rsid w:val="00A87787"/>
    <w:rsid w:val="00A90431"/>
    <w:rsid w:val="00A91028"/>
    <w:rsid w:val="00A91101"/>
    <w:rsid w:val="00A91276"/>
    <w:rsid w:val="00A91CE6"/>
    <w:rsid w:val="00A92C58"/>
    <w:rsid w:val="00A93505"/>
    <w:rsid w:val="00A9386A"/>
    <w:rsid w:val="00A94BDF"/>
    <w:rsid w:val="00A95347"/>
    <w:rsid w:val="00A956EB"/>
    <w:rsid w:val="00A95FC3"/>
    <w:rsid w:val="00AA0970"/>
    <w:rsid w:val="00AA0D55"/>
    <w:rsid w:val="00AA1538"/>
    <w:rsid w:val="00AA1570"/>
    <w:rsid w:val="00AA455F"/>
    <w:rsid w:val="00AA53E5"/>
    <w:rsid w:val="00AA5832"/>
    <w:rsid w:val="00AA5E49"/>
    <w:rsid w:val="00AA6809"/>
    <w:rsid w:val="00AB01D5"/>
    <w:rsid w:val="00AB07FF"/>
    <w:rsid w:val="00AB095B"/>
    <w:rsid w:val="00AB16D9"/>
    <w:rsid w:val="00AB3514"/>
    <w:rsid w:val="00AB41A5"/>
    <w:rsid w:val="00AB4FF0"/>
    <w:rsid w:val="00AB5816"/>
    <w:rsid w:val="00AB5A0B"/>
    <w:rsid w:val="00AB7E38"/>
    <w:rsid w:val="00AC0185"/>
    <w:rsid w:val="00AC0199"/>
    <w:rsid w:val="00AC0670"/>
    <w:rsid w:val="00AC097F"/>
    <w:rsid w:val="00AC0CAA"/>
    <w:rsid w:val="00AC70EA"/>
    <w:rsid w:val="00AC76D9"/>
    <w:rsid w:val="00AC7E8C"/>
    <w:rsid w:val="00AD2D89"/>
    <w:rsid w:val="00AD43DC"/>
    <w:rsid w:val="00AD4A02"/>
    <w:rsid w:val="00AE002C"/>
    <w:rsid w:val="00AE0EAD"/>
    <w:rsid w:val="00AE29F7"/>
    <w:rsid w:val="00AE4236"/>
    <w:rsid w:val="00AE480C"/>
    <w:rsid w:val="00AE51B0"/>
    <w:rsid w:val="00AE591A"/>
    <w:rsid w:val="00AE7F3B"/>
    <w:rsid w:val="00AF259B"/>
    <w:rsid w:val="00AF3225"/>
    <w:rsid w:val="00AF3D5A"/>
    <w:rsid w:val="00AF41AB"/>
    <w:rsid w:val="00AF712B"/>
    <w:rsid w:val="00B01547"/>
    <w:rsid w:val="00B01889"/>
    <w:rsid w:val="00B02B08"/>
    <w:rsid w:val="00B0348F"/>
    <w:rsid w:val="00B03D9C"/>
    <w:rsid w:val="00B059BD"/>
    <w:rsid w:val="00B05B69"/>
    <w:rsid w:val="00B05E52"/>
    <w:rsid w:val="00B078EC"/>
    <w:rsid w:val="00B104BA"/>
    <w:rsid w:val="00B10CAB"/>
    <w:rsid w:val="00B10FFA"/>
    <w:rsid w:val="00B11671"/>
    <w:rsid w:val="00B1182E"/>
    <w:rsid w:val="00B11C79"/>
    <w:rsid w:val="00B123C0"/>
    <w:rsid w:val="00B15D1F"/>
    <w:rsid w:val="00B16A62"/>
    <w:rsid w:val="00B16BA1"/>
    <w:rsid w:val="00B17D73"/>
    <w:rsid w:val="00B20C71"/>
    <w:rsid w:val="00B20D0D"/>
    <w:rsid w:val="00B20FC6"/>
    <w:rsid w:val="00B21927"/>
    <w:rsid w:val="00B21948"/>
    <w:rsid w:val="00B23BEE"/>
    <w:rsid w:val="00B24C34"/>
    <w:rsid w:val="00B26DE6"/>
    <w:rsid w:val="00B27969"/>
    <w:rsid w:val="00B27F6B"/>
    <w:rsid w:val="00B30292"/>
    <w:rsid w:val="00B303D1"/>
    <w:rsid w:val="00B30409"/>
    <w:rsid w:val="00B3232C"/>
    <w:rsid w:val="00B32559"/>
    <w:rsid w:val="00B338EC"/>
    <w:rsid w:val="00B342A2"/>
    <w:rsid w:val="00B345B0"/>
    <w:rsid w:val="00B35201"/>
    <w:rsid w:val="00B35DEE"/>
    <w:rsid w:val="00B368BD"/>
    <w:rsid w:val="00B36C5A"/>
    <w:rsid w:val="00B36D65"/>
    <w:rsid w:val="00B37B70"/>
    <w:rsid w:val="00B40294"/>
    <w:rsid w:val="00B42C82"/>
    <w:rsid w:val="00B42CF6"/>
    <w:rsid w:val="00B42E13"/>
    <w:rsid w:val="00B4307D"/>
    <w:rsid w:val="00B43B19"/>
    <w:rsid w:val="00B43F8D"/>
    <w:rsid w:val="00B4503E"/>
    <w:rsid w:val="00B46126"/>
    <w:rsid w:val="00B50FDA"/>
    <w:rsid w:val="00B512FE"/>
    <w:rsid w:val="00B52794"/>
    <w:rsid w:val="00B53139"/>
    <w:rsid w:val="00B5353C"/>
    <w:rsid w:val="00B53E85"/>
    <w:rsid w:val="00B547E5"/>
    <w:rsid w:val="00B54837"/>
    <w:rsid w:val="00B54C9E"/>
    <w:rsid w:val="00B5556A"/>
    <w:rsid w:val="00B560AA"/>
    <w:rsid w:val="00B57A30"/>
    <w:rsid w:val="00B61ED5"/>
    <w:rsid w:val="00B63086"/>
    <w:rsid w:val="00B67DC9"/>
    <w:rsid w:val="00B7299D"/>
    <w:rsid w:val="00B7385F"/>
    <w:rsid w:val="00B74EDD"/>
    <w:rsid w:val="00B75359"/>
    <w:rsid w:val="00B75411"/>
    <w:rsid w:val="00B756D9"/>
    <w:rsid w:val="00B762E9"/>
    <w:rsid w:val="00B80490"/>
    <w:rsid w:val="00B80578"/>
    <w:rsid w:val="00B82E1E"/>
    <w:rsid w:val="00B82F92"/>
    <w:rsid w:val="00B84E07"/>
    <w:rsid w:val="00B86834"/>
    <w:rsid w:val="00B86897"/>
    <w:rsid w:val="00B91541"/>
    <w:rsid w:val="00B92219"/>
    <w:rsid w:val="00B9399D"/>
    <w:rsid w:val="00B94DAE"/>
    <w:rsid w:val="00B978C6"/>
    <w:rsid w:val="00BA0D07"/>
    <w:rsid w:val="00BA11F0"/>
    <w:rsid w:val="00BA13A3"/>
    <w:rsid w:val="00BA1C0F"/>
    <w:rsid w:val="00BA2364"/>
    <w:rsid w:val="00BA2827"/>
    <w:rsid w:val="00BA3761"/>
    <w:rsid w:val="00BA4E90"/>
    <w:rsid w:val="00BA54D0"/>
    <w:rsid w:val="00BA5B76"/>
    <w:rsid w:val="00BA6C68"/>
    <w:rsid w:val="00BA7161"/>
    <w:rsid w:val="00BA7BD4"/>
    <w:rsid w:val="00BB0066"/>
    <w:rsid w:val="00BB1568"/>
    <w:rsid w:val="00BB2910"/>
    <w:rsid w:val="00BB3016"/>
    <w:rsid w:val="00BB3521"/>
    <w:rsid w:val="00BB368C"/>
    <w:rsid w:val="00BB39B5"/>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21BC"/>
    <w:rsid w:val="00BD48C2"/>
    <w:rsid w:val="00BD6669"/>
    <w:rsid w:val="00BD685D"/>
    <w:rsid w:val="00BD6ADD"/>
    <w:rsid w:val="00BD725C"/>
    <w:rsid w:val="00BE26FE"/>
    <w:rsid w:val="00BE27FF"/>
    <w:rsid w:val="00BE34A0"/>
    <w:rsid w:val="00BE35B5"/>
    <w:rsid w:val="00BE52AB"/>
    <w:rsid w:val="00BE5A19"/>
    <w:rsid w:val="00BE62E3"/>
    <w:rsid w:val="00BE7448"/>
    <w:rsid w:val="00BF0A08"/>
    <w:rsid w:val="00BF13D0"/>
    <w:rsid w:val="00BF1B7F"/>
    <w:rsid w:val="00BF30DA"/>
    <w:rsid w:val="00BF3234"/>
    <w:rsid w:val="00BF408A"/>
    <w:rsid w:val="00BF45E6"/>
    <w:rsid w:val="00BF48D5"/>
    <w:rsid w:val="00BF55AE"/>
    <w:rsid w:val="00BF7735"/>
    <w:rsid w:val="00BF7DEE"/>
    <w:rsid w:val="00C05A4D"/>
    <w:rsid w:val="00C06B72"/>
    <w:rsid w:val="00C06C6D"/>
    <w:rsid w:val="00C10807"/>
    <w:rsid w:val="00C108F7"/>
    <w:rsid w:val="00C1178C"/>
    <w:rsid w:val="00C136DA"/>
    <w:rsid w:val="00C139AF"/>
    <w:rsid w:val="00C151B5"/>
    <w:rsid w:val="00C1622F"/>
    <w:rsid w:val="00C1671F"/>
    <w:rsid w:val="00C2030F"/>
    <w:rsid w:val="00C21572"/>
    <w:rsid w:val="00C215CE"/>
    <w:rsid w:val="00C251B9"/>
    <w:rsid w:val="00C264AE"/>
    <w:rsid w:val="00C271CB"/>
    <w:rsid w:val="00C27207"/>
    <w:rsid w:val="00C274A5"/>
    <w:rsid w:val="00C31E7E"/>
    <w:rsid w:val="00C329D6"/>
    <w:rsid w:val="00C32BEC"/>
    <w:rsid w:val="00C32D1F"/>
    <w:rsid w:val="00C32E00"/>
    <w:rsid w:val="00C35FF3"/>
    <w:rsid w:val="00C40D77"/>
    <w:rsid w:val="00C4362F"/>
    <w:rsid w:val="00C44055"/>
    <w:rsid w:val="00C44AEE"/>
    <w:rsid w:val="00C451C3"/>
    <w:rsid w:val="00C46124"/>
    <w:rsid w:val="00C46ABE"/>
    <w:rsid w:val="00C5158D"/>
    <w:rsid w:val="00C5161E"/>
    <w:rsid w:val="00C54B8E"/>
    <w:rsid w:val="00C557F9"/>
    <w:rsid w:val="00C56CFE"/>
    <w:rsid w:val="00C56E65"/>
    <w:rsid w:val="00C601F3"/>
    <w:rsid w:val="00C60387"/>
    <w:rsid w:val="00C6154C"/>
    <w:rsid w:val="00C619B7"/>
    <w:rsid w:val="00C61AF2"/>
    <w:rsid w:val="00C61E0D"/>
    <w:rsid w:val="00C63025"/>
    <w:rsid w:val="00C63573"/>
    <w:rsid w:val="00C63872"/>
    <w:rsid w:val="00C642B4"/>
    <w:rsid w:val="00C64E99"/>
    <w:rsid w:val="00C6550E"/>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80606"/>
    <w:rsid w:val="00C80A95"/>
    <w:rsid w:val="00C82F5B"/>
    <w:rsid w:val="00C83C20"/>
    <w:rsid w:val="00C83EE9"/>
    <w:rsid w:val="00C83F7B"/>
    <w:rsid w:val="00C841B2"/>
    <w:rsid w:val="00C85490"/>
    <w:rsid w:val="00C90FA5"/>
    <w:rsid w:val="00C91AC8"/>
    <w:rsid w:val="00C91EE1"/>
    <w:rsid w:val="00C9290C"/>
    <w:rsid w:val="00C9396A"/>
    <w:rsid w:val="00C94045"/>
    <w:rsid w:val="00C94174"/>
    <w:rsid w:val="00C94C38"/>
    <w:rsid w:val="00C94DAB"/>
    <w:rsid w:val="00C9756D"/>
    <w:rsid w:val="00C975B5"/>
    <w:rsid w:val="00CA0081"/>
    <w:rsid w:val="00CA1366"/>
    <w:rsid w:val="00CA17BB"/>
    <w:rsid w:val="00CA388A"/>
    <w:rsid w:val="00CA53DD"/>
    <w:rsid w:val="00CB0372"/>
    <w:rsid w:val="00CB7C76"/>
    <w:rsid w:val="00CC16D1"/>
    <w:rsid w:val="00CC1987"/>
    <w:rsid w:val="00CC218C"/>
    <w:rsid w:val="00CC3A8B"/>
    <w:rsid w:val="00CC5EEF"/>
    <w:rsid w:val="00CC5FEC"/>
    <w:rsid w:val="00CC6F27"/>
    <w:rsid w:val="00CD0C86"/>
    <w:rsid w:val="00CD10D7"/>
    <w:rsid w:val="00CD2FDC"/>
    <w:rsid w:val="00CD33AF"/>
    <w:rsid w:val="00CD4CC6"/>
    <w:rsid w:val="00CD5E27"/>
    <w:rsid w:val="00CD7F35"/>
    <w:rsid w:val="00CE032A"/>
    <w:rsid w:val="00CE0BC2"/>
    <w:rsid w:val="00CE1EB6"/>
    <w:rsid w:val="00CE3A39"/>
    <w:rsid w:val="00CE3CF9"/>
    <w:rsid w:val="00CE42C7"/>
    <w:rsid w:val="00CE50F7"/>
    <w:rsid w:val="00CE76DE"/>
    <w:rsid w:val="00CF0985"/>
    <w:rsid w:val="00CF406D"/>
    <w:rsid w:val="00CF5C38"/>
    <w:rsid w:val="00CF693D"/>
    <w:rsid w:val="00CF6EA4"/>
    <w:rsid w:val="00CF7A89"/>
    <w:rsid w:val="00D00178"/>
    <w:rsid w:val="00D00682"/>
    <w:rsid w:val="00D027C4"/>
    <w:rsid w:val="00D03E61"/>
    <w:rsid w:val="00D04275"/>
    <w:rsid w:val="00D045A2"/>
    <w:rsid w:val="00D0752F"/>
    <w:rsid w:val="00D075B0"/>
    <w:rsid w:val="00D07E43"/>
    <w:rsid w:val="00D102BF"/>
    <w:rsid w:val="00D1130E"/>
    <w:rsid w:val="00D12234"/>
    <w:rsid w:val="00D1289F"/>
    <w:rsid w:val="00D138FB"/>
    <w:rsid w:val="00D13E68"/>
    <w:rsid w:val="00D15371"/>
    <w:rsid w:val="00D15415"/>
    <w:rsid w:val="00D15FDF"/>
    <w:rsid w:val="00D17873"/>
    <w:rsid w:val="00D207F1"/>
    <w:rsid w:val="00D207FE"/>
    <w:rsid w:val="00D22A9C"/>
    <w:rsid w:val="00D24299"/>
    <w:rsid w:val="00D26E3D"/>
    <w:rsid w:val="00D306B4"/>
    <w:rsid w:val="00D30BF6"/>
    <w:rsid w:val="00D315D9"/>
    <w:rsid w:val="00D31CCC"/>
    <w:rsid w:val="00D32F4E"/>
    <w:rsid w:val="00D3474C"/>
    <w:rsid w:val="00D36A9A"/>
    <w:rsid w:val="00D37234"/>
    <w:rsid w:val="00D37A98"/>
    <w:rsid w:val="00D40C39"/>
    <w:rsid w:val="00D424EB"/>
    <w:rsid w:val="00D43574"/>
    <w:rsid w:val="00D439C6"/>
    <w:rsid w:val="00D45E82"/>
    <w:rsid w:val="00D4600C"/>
    <w:rsid w:val="00D46392"/>
    <w:rsid w:val="00D4739B"/>
    <w:rsid w:val="00D47ECA"/>
    <w:rsid w:val="00D5046B"/>
    <w:rsid w:val="00D50EC0"/>
    <w:rsid w:val="00D50FC3"/>
    <w:rsid w:val="00D5314D"/>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4C26"/>
    <w:rsid w:val="00D7527C"/>
    <w:rsid w:val="00D7594C"/>
    <w:rsid w:val="00D80458"/>
    <w:rsid w:val="00D81065"/>
    <w:rsid w:val="00D814D8"/>
    <w:rsid w:val="00D82507"/>
    <w:rsid w:val="00D9053A"/>
    <w:rsid w:val="00D90EF4"/>
    <w:rsid w:val="00D91FC6"/>
    <w:rsid w:val="00D928E7"/>
    <w:rsid w:val="00D92CF7"/>
    <w:rsid w:val="00D936A7"/>
    <w:rsid w:val="00D9457D"/>
    <w:rsid w:val="00D94721"/>
    <w:rsid w:val="00D95AE0"/>
    <w:rsid w:val="00D96F37"/>
    <w:rsid w:val="00D97974"/>
    <w:rsid w:val="00D97D4C"/>
    <w:rsid w:val="00DA1A02"/>
    <w:rsid w:val="00DA2742"/>
    <w:rsid w:val="00DA2888"/>
    <w:rsid w:val="00DA29FE"/>
    <w:rsid w:val="00DA3754"/>
    <w:rsid w:val="00DA3CD3"/>
    <w:rsid w:val="00DA42B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41DC"/>
    <w:rsid w:val="00DC4F7A"/>
    <w:rsid w:val="00DC6EC7"/>
    <w:rsid w:val="00DC7553"/>
    <w:rsid w:val="00DD0097"/>
    <w:rsid w:val="00DD1560"/>
    <w:rsid w:val="00DD1A43"/>
    <w:rsid w:val="00DD2156"/>
    <w:rsid w:val="00DD2460"/>
    <w:rsid w:val="00DD3391"/>
    <w:rsid w:val="00DD406A"/>
    <w:rsid w:val="00DD48B3"/>
    <w:rsid w:val="00DD50AE"/>
    <w:rsid w:val="00DD5381"/>
    <w:rsid w:val="00DD66B3"/>
    <w:rsid w:val="00DD7B80"/>
    <w:rsid w:val="00DD7DFA"/>
    <w:rsid w:val="00DE0DA6"/>
    <w:rsid w:val="00DE2BD4"/>
    <w:rsid w:val="00DE32CE"/>
    <w:rsid w:val="00DE35EB"/>
    <w:rsid w:val="00DE3C38"/>
    <w:rsid w:val="00DE5215"/>
    <w:rsid w:val="00DE7A9D"/>
    <w:rsid w:val="00DF098F"/>
    <w:rsid w:val="00DF438D"/>
    <w:rsid w:val="00DF57DD"/>
    <w:rsid w:val="00E01159"/>
    <w:rsid w:val="00E0181E"/>
    <w:rsid w:val="00E03AF3"/>
    <w:rsid w:val="00E042B7"/>
    <w:rsid w:val="00E05F99"/>
    <w:rsid w:val="00E06073"/>
    <w:rsid w:val="00E06960"/>
    <w:rsid w:val="00E07950"/>
    <w:rsid w:val="00E07DF6"/>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28CC"/>
    <w:rsid w:val="00E36764"/>
    <w:rsid w:val="00E36E51"/>
    <w:rsid w:val="00E41969"/>
    <w:rsid w:val="00E41FF8"/>
    <w:rsid w:val="00E4277C"/>
    <w:rsid w:val="00E4319D"/>
    <w:rsid w:val="00E446A7"/>
    <w:rsid w:val="00E44741"/>
    <w:rsid w:val="00E46CE1"/>
    <w:rsid w:val="00E47250"/>
    <w:rsid w:val="00E53E96"/>
    <w:rsid w:val="00E612CB"/>
    <w:rsid w:val="00E61FA2"/>
    <w:rsid w:val="00E6327B"/>
    <w:rsid w:val="00E63387"/>
    <w:rsid w:val="00E63441"/>
    <w:rsid w:val="00E64566"/>
    <w:rsid w:val="00E64A66"/>
    <w:rsid w:val="00E64D23"/>
    <w:rsid w:val="00E656C6"/>
    <w:rsid w:val="00E6629F"/>
    <w:rsid w:val="00E701D4"/>
    <w:rsid w:val="00E72D55"/>
    <w:rsid w:val="00E735C0"/>
    <w:rsid w:val="00E75BB3"/>
    <w:rsid w:val="00E75C01"/>
    <w:rsid w:val="00E76E40"/>
    <w:rsid w:val="00E76F13"/>
    <w:rsid w:val="00E76FC2"/>
    <w:rsid w:val="00E773AE"/>
    <w:rsid w:val="00E80B38"/>
    <w:rsid w:val="00E80B7E"/>
    <w:rsid w:val="00E81003"/>
    <w:rsid w:val="00E819ED"/>
    <w:rsid w:val="00E81D83"/>
    <w:rsid w:val="00E820F6"/>
    <w:rsid w:val="00E82F73"/>
    <w:rsid w:val="00E8387F"/>
    <w:rsid w:val="00E83C25"/>
    <w:rsid w:val="00E84011"/>
    <w:rsid w:val="00E850E8"/>
    <w:rsid w:val="00E8535D"/>
    <w:rsid w:val="00E85AD0"/>
    <w:rsid w:val="00E8721F"/>
    <w:rsid w:val="00E90C20"/>
    <w:rsid w:val="00E91FA2"/>
    <w:rsid w:val="00E94E72"/>
    <w:rsid w:val="00E95DC3"/>
    <w:rsid w:val="00EA0A04"/>
    <w:rsid w:val="00EA0A10"/>
    <w:rsid w:val="00EA0D42"/>
    <w:rsid w:val="00EA2689"/>
    <w:rsid w:val="00EA2C60"/>
    <w:rsid w:val="00EA57C6"/>
    <w:rsid w:val="00EA5A2B"/>
    <w:rsid w:val="00EA627D"/>
    <w:rsid w:val="00EA7D74"/>
    <w:rsid w:val="00EA7E4F"/>
    <w:rsid w:val="00EB1DEC"/>
    <w:rsid w:val="00EB22D4"/>
    <w:rsid w:val="00EB3B77"/>
    <w:rsid w:val="00EB3C4F"/>
    <w:rsid w:val="00EB4DC1"/>
    <w:rsid w:val="00EB726D"/>
    <w:rsid w:val="00EB786B"/>
    <w:rsid w:val="00EC0B0D"/>
    <w:rsid w:val="00EC0C73"/>
    <w:rsid w:val="00EC1754"/>
    <w:rsid w:val="00EC1F4C"/>
    <w:rsid w:val="00EC51CD"/>
    <w:rsid w:val="00EC5B90"/>
    <w:rsid w:val="00EC769A"/>
    <w:rsid w:val="00ED01B6"/>
    <w:rsid w:val="00ED08C9"/>
    <w:rsid w:val="00ED0D0D"/>
    <w:rsid w:val="00ED12CB"/>
    <w:rsid w:val="00ED1710"/>
    <w:rsid w:val="00ED1D5D"/>
    <w:rsid w:val="00ED3915"/>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732B"/>
    <w:rsid w:val="00EE744D"/>
    <w:rsid w:val="00EF234E"/>
    <w:rsid w:val="00EF3895"/>
    <w:rsid w:val="00EF3B77"/>
    <w:rsid w:val="00EF6BD5"/>
    <w:rsid w:val="00EF7093"/>
    <w:rsid w:val="00EF71D2"/>
    <w:rsid w:val="00EF7939"/>
    <w:rsid w:val="00F00275"/>
    <w:rsid w:val="00F00A2C"/>
    <w:rsid w:val="00F01569"/>
    <w:rsid w:val="00F01B8A"/>
    <w:rsid w:val="00F0235E"/>
    <w:rsid w:val="00F03BB8"/>
    <w:rsid w:val="00F03F4D"/>
    <w:rsid w:val="00F0407F"/>
    <w:rsid w:val="00F040B2"/>
    <w:rsid w:val="00F04447"/>
    <w:rsid w:val="00F061DF"/>
    <w:rsid w:val="00F06823"/>
    <w:rsid w:val="00F06C51"/>
    <w:rsid w:val="00F12428"/>
    <w:rsid w:val="00F12A50"/>
    <w:rsid w:val="00F13DFA"/>
    <w:rsid w:val="00F159CA"/>
    <w:rsid w:val="00F16FCE"/>
    <w:rsid w:val="00F177B8"/>
    <w:rsid w:val="00F2086F"/>
    <w:rsid w:val="00F2103C"/>
    <w:rsid w:val="00F21981"/>
    <w:rsid w:val="00F228D1"/>
    <w:rsid w:val="00F24429"/>
    <w:rsid w:val="00F271AF"/>
    <w:rsid w:val="00F27E2A"/>
    <w:rsid w:val="00F30080"/>
    <w:rsid w:val="00F3019B"/>
    <w:rsid w:val="00F31A5E"/>
    <w:rsid w:val="00F34403"/>
    <w:rsid w:val="00F34A67"/>
    <w:rsid w:val="00F35FEC"/>
    <w:rsid w:val="00F374D5"/>
    <w:rsid w:val="00F408F2"/>
    <w:rsid w:val="00F40989"/>
    <w:rsid w:val="00F40BA3"/>
    <w:rsid w:val="00F42155"/>
    <w:rsid w:val="00F42FEE"/>
    <w:rsid w:val="00F43855"/>
    <w:rsid w:val="00F44321"/>
    <w:rsid w:val="00F447E3"/>
    <w:rsid w:val="00F459E5"/>
    <w:rsid w:val="00F463C6"/>
    <w:rsid w:val="00F46E16"/>
    <w:rsid w:val="00F5137F"/>
    <w:rsid w:val="00F51391"/>
    <w:rsid w:val="00F56BDA"/>
    <w:rsid w:val="00F6043E"/>
    <w:rsid w:val="00F60658"/>
    <w:rsid w:val="00F61142"/>
    <w:rsid w:val="00F61C83"/>
    <w:rsid w:val="00F61D57"/>
    <w:rsid w:val="00F626DB"/>
    <w:rsid w:val="00F62896"/>
    <w:rsid w:val="00F63E9E"/>
    <w:rsid w:val="00F648FC"/>
    <w:rsid w:val="00F64DEA"/>
    <w:rsid w:val="00F657F4"/>
    <w:rsid w:val="00F717D8"/>
    <w:rsid w:val="00F7238F"/>
    <w:rsid w:val="00F73CB2"/>
    <w:rsid w:val="00F740D9"/>
    <w:rsid w:val="00F74EF3"/>
    <w:rsid w:val="00F82162"/>
    <w:rsid w:val="00F82EC4"/>
    <w:rsid w:val="00F837F5"/>
    <w:rsid w:val="00F863EA"/>
    <w:rsid w:val="00F865AF"/>
    <w:rsid w:val="00F92BA0"/>
    <w:rsid w:val="00F949FD"/>
    <w:rsid w:val="00F94DCD"/>
    <w:rsid w:val="00F956E3"/>
    <w:rsid w:val="00F958BD"/>
    <w:rsid w:val="00F95EA2"/>
    <w:rsid w:val="00F972FE"/>
    <w:rsid w:val="00F9769E"/>
    <w:rsid w:val="00FA0190"/>
    <w:rsid w:val="00FA09CA"/>
    <w:rsid w:val="00FA0B26"/>
    <w:rsid w:val="00FA2080"/>
    <w:rsid w:val="00FA36EB"/>
    <w:rsid w:val="00FA3CF7"/>
    <w:rsid w:val="00FA41D1"/>
    <w:rsid w:val="00FA5DB0"/>
    <w:rsid w:val="00FA71CB"/>
    <w:rsid w:val="00FA789F"/>
    <w:rsid w:val="00FB08FD"/>
    <w:rsid w:val="00FB16DF"/>
    <w:rsid w:val="00FB1FF0"/>
    <w:rsid w:val="00FB2528"/>
    <w:rsid w:val="00FB2D64"/>
    <w:rsid w:val="00FB384B"/>
    <w:rsid w:val="00FB39DC"/>
    <w:rsid w:val="00FB6732"/>
    <w:rsid w:val="00FB6A95"/>
    <w:rsid w:val="00FC0D1B"/>
    <w:rsid w:val="00FC1C09"/>
    <w:rsid w:val="00FC281B"/>
    <w:rsid w:val="00FC3258"/>
    <w:rsid w:val="00FC3C02"/>
    <w:rsid w:val="00FC4398"/>
    <w:rsid w:val="00FC48AB"/>
    <w:rsid w:val="00FC4980"/>
    <w:rsid w:val="00FC5713"/>
    <w:rsid w:val="00FC57CF"/>
    <w:rsid w:val="00FC64AA"/>
    <w:rsid w:val="00FC69A8"/>
    <w:rsid w:val="00FD1084"/>
    <w:rsid w:val="00FD1243"/>
    <w:rsid w:val="00FD1717"/>
    <w:rsid w:val="00FD1A24"/>
    <w:rsid w:val="00FD1D04"/>
    <w:rsid w:val="00FD29B4"/>
    <w:rsid w:val="00FD32D1"/>
    <w:rsid w:val="00FD34FB"/>
    <w:rsid w:val="00FD64A8"/>
    <w:rsid w:val="00FD64B2"/>
    <w:rsid w:val="00FD664B"/>
    <w:rsid w:val="00FE02A0"/>
    <w:rsid w:val="00FE04E7"/>
    <w:rsid w:val="00FE0D06"/>
    <w:rsid w:val="00FE17B7"/>
    <w:rsid w:val="00FE1ABE"/>
    <w:rsid w:val="00FE2070"/>
    <w:rsid w:val="00FE32C0"/>
    <w:rsid w:val="00FE3396"/>
    <w:rsid w:val="00FE368E"/>
    <w:rsid w:val="00FE36AE"/>
    <w:rsid w:val="00FE5C4A"/>
    <w:rsid w:val="00FE5CF1"/>
    <w:rsid w:val="00FE6A78"/>
    <w:rsid w:val="00FE7E43"/>
    <w:rsid w:val="00FF0567"/>
    <w:rsid w:val="00FF2390"/>
    <w:rsid w:val="00FF27C8"/>
    <w:rsid w:val="00FF284F"/>
    <w:rsid w:val="00FF318E"/>
    <w:rsid w:val="00FF3E58"/>
    <w:rsid w:val="00FF4323"/>
    <w:rsid w:val="00FF4FC0"/>
    <w:rsid w:val="00FF5236"/>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210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210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1CC78-C5D1-47C6-B22C-D677107E2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3</cp:revision>
  <cp:lastPrinted>2015-07-20T19:34:00Z</cp:lastPrinted>
  <dcterms:created xsi:type="dcterms:W3CDTF">2016-02-17T10:18:00Z</dcterms:created>
  <dcterms:modified xsi:type="dcterms:W3CDTF">2016-02-17T10:35:00Z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